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5.0" w:type="dxa"/>
        <w:jc w:val="left"/>
        <w:tblInd w:w="0.0" w:type="dxa"/>
        <w:tblLayout w:type="fixed"/>
        <w:tblLook w:val="0000"/>
      </w:tblPr>
      <w:tblGrid>
        <w:gridCol w:w="4246"/>
        <w:gridCol w:w="4279"/>
        <w:tblGridChange w:id="0">
          <w:tblGrid>
            <w:gridCol w:w="4246"/>
            <w:gridCol w:w="427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DISCIPLINA: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Teoria Geral da Administração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Vigência: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a partir de 2021/2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letivo:</w:t>
            </w:r>
            <w:r w:rsidDel="00000000" w:rsidR="00000000" w:rsidRPr="00000000">
              <w:rPr>
                <w:color w:val="000000"/>
                <w:rtl w:val="0"/>
              </w:rPr>
              <w:t xml:space="preserve"> 1º semestre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total: </w:t>
            </w:r>
            <w:r w:rsidDel="00000000" w:rsidR="00000000" w:rsidRPr="00000000">
              <w:rPr>
                <w:color w:val="000000"/>
                <w:rtl w:val="0"/>
              </w:rPr>
              <w:t xml:space="preserve">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highlight w:val="gree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</w:t>
            </w:r>
            <w:r w:rsidDel="00000000" w:rsidR="00000000" w:rsidRPr="00000000">
              <w:rPr>
                <w:b w:val="1"/>
                <w:color w:val="00000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LJ_TPG.0005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Ementa: </w:t>
            </w:r>
            <w:r w:rsidDel="00000000" w:rsidR="00000000" w:rsidRPr="00000000">
              <w:rPr>
                <w:color w:val="000000"/>
                <w:rtl w:val="0"/>
              </w:rPr>
              <w:t xml:space="preserve">Estudo dos antecedentes históricos da Administração. Apresentação e aprofundamento dos conhecimentos sobre as áreas e funções básicas da Administração. Investigação sobre as abordagens e escolas da Administração. Estudos de caso sobre a administração contemporânea em situações reais e atuais.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Conteúdos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UNIDADE I – Visão geral da Administração </w:t>
      </w:r>
    </w:p>
    <w:p w:rsidR="00000000" w:rsidDel="00000000" w:rsidP="00000000" w:rsidRDefault="00000000" w:rsidRPr="00000000" w14:paraId="0000000E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1.1 Antecedentes históricos da Administração.</w:t>
      </w:r>
    </w:p>
    <w:p w:rsidR="00000000" w:rsidDel="00000000" w:rsidP="00000000" w:rsidRDefault="00000000" w:rsidRPr="00000000" w14:paraId="0000000F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1.2 Precursores da Administração.</w:t>
      </w:r>
    </w:p>
    <w:p w:rsidR="00000000" w:rsidDel="00000000" w:rsidP="00000000" w:rsidRDefault="00000000" w:rsidRPr="00000000" w14:paraId="00000010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1.3 Revolução Industrial.</w:t>
      </w:r>
    </w:p>
    <w:p w:rsidR="00000000" w:rsidDel="00000000" w:rsidP="00000000" w:rsidRDefault="00000000" w:rsidRPr="00000000" w14:paraId="00000011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1.4 Administração contemporânea.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UNIDADE II – Áreas básicas da Administração </w:t>
      </w:r>
    </w:p>
    <w:p w:rsidR="00000000" w:rsidDel="00000000" w:rsidP="00000000" w:rsidRDefault="00000000" w:rsidRPr="00000000" w14:paraId="00000014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2.1 Gestão de marketing.</w:t>
      </w:r>
    </w:p>
    <w:p w:rsidR="00000000" w:rsidDel="00000000" w:rsidP="00000000" w:rsidRDefault="00000000" w:rsidRPr="00000000" w14:paraId="00000015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2.2 Gestão da produção.</w:t>
      </w:r>
    </w:p>
    <w:p w:rsidR="00000000" w:rsidDel="00000000" w:rsidP="00000000" w:rsidRDefault="00000000" w:rsidRPr="00000000" w14:paraId="00000016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2.3 Gestão de pessoas.</w:t>
      </w:r>
    </w:p>
    <w:p w:rsidR="00000000" w:rsidDel="00000000" w:rsidP="00000000" w:rsidRDefault="00000000" w:rsidRPr="00000000" w14:paraId="00000017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2.4 Gestão de finanças.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UNIDADE III – Funções básicas da Administração </w:t>
      </w:r>
    </w:p>
    <w:p w:rsidR="00000000" w:rsidDel="00000000" w:rsidP="00000000" w:rsidRDefault="00000000" w:rsidRPr="00000000" w14:paraId="0000001A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3.1 Planejamento. </w:t>
      </w:r>
    </w:p>
    <w:p w:rsidR="00000000" w:rsidDel="00000000" w:rsidP="00000000" w:rsidRDefault="00000000" w:rsidRPr="00000000" w14:paraId="0000001B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3.2 Organização.</w:t>
      </w:r>
    </w:p>
    <w:p w:rsidR="00000000" w:rsidDel="00000000" w:rsidP="00000000" w:rsidRDefault="00000000" w:rsidRPr="00000000" w14:paraId="0000001C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3.3 Direção.</w:t>
      </w:r>
    </w:p>
    <w:p w:rsidR="00000000" w:rsidDel="00000000" w:rsidP="00000000" w:rsidRDefault="00000000" w:rsidRPr="00000000" w14:paraId="0000001D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3.4 Controle.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UNIDADE IV – Abordagens e escolas da Administração </w:t>
      </w:r>
    </w:p>
    <w:p w:rsidR="00000000" w:rsidDel="00000000" w:rsidP="00000000" w:rsidRDefault="00000000" w:rsidRPr="00000000" w14:paraId="00000020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4.1 Abordagem Clássica: Administração Científica e Teoria Clássica da Administração.</w:t>
      </w:r>
    </w:p>
    <w:p w:rsidR="00000000" w:rsidDel="00000000" w:rsidP="00000000" w:rsidRDefault="00000000" w:rsidRPr="00000000" w14:paraId="00000021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4.2 Abordagem Humanista: Teoria das Relações Humanas.</w:t>
      </w:r>
    </w:p>
    <w:p w:rsidR="00000000" w:rsidDel="00000000" w:rsidP="00000000" w:rsidRDefault="00000000" w:rsidRPr="00000000" w14:paraId="00000022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4.3 Abordagem Neoclássica: Teoria Neoclássica e Administração por Objetivo. </w:t>
      </w:r>
    </w:p>
    <w:p w:rsidR="00000000" w:rsidDel="00000000" w:rsidP="00000000" w:rsidRDefault="00000000" w:rsidRPr="00000000" w14:paraId="00000023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4.4 Abordagem Estruturalista: Modelo Burocrático e Teoria Estruturalista. </w:t>
      </w:r>
    </w:p>
    <w:p w:rsidR="00000000" w:rsidDel="00000000" w:rsidP="00000000" w:rsidRDefault="00000000" w:rsidRPr="00000000" w14:paraId="00000024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4.5 Abordagem Comportamental: Teoria Comportamental e Teoria do Desenvolvimento Organizacional. </w:t>
      </w:r>
    </w:p>
    <w:p w:rsidR="00000000" w:rsidDel="00000000" w:rsidP="00000000" w:rsidRDefault="00000000" w:rsidRPr="00000000" w14:paraId="00000025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4.6 Abordagem Sistêmica: Teoria Geral dos Sistemas.</w:t>
      </w:r>
    </w:p>
    <w:p w:rsidR="00000000" w:rsidDel="00000000" w:rsidP="00000000" w:rsidRDefault="00000000" w:rsidRPr="00000000" w14:paraId="00000026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4.7 Abordagem Contingencial: Teoria da Contingência. 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Bibliografia básica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CHIAVENATO, Idalberto. </w:t>
      </w:r>
      <w:r w:rsidDel="00000000" w:rsidR="00000000" w:rsidRPr="00000000">
        <w:rPr>
          <w:b w:val="1"/>
          <w:rtl w:val="0"/>
        </w:rPr>
        <w:t xml:space="preserve">Introdução à Teoria Geral da Administração: </w:t>
      </w:r>
      <w:r w:rsidDel="00000000" w:rsidR="00000000" w:rsidRPr="00000000">
        <w:rPr>
          <w:rtl w:val="0"/>
        </w:rPr>
        <w:t xml:space="preserve">uma visão abrangente da moderna administração das organizações.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color w:val="ff0000"/>
          <w:rtl w:val="0"/>
        </w:rPr>
        <w:t xml:space="preserve">8.ed</w:t>
      </w:r>
      <w:r w:rsidDel="00000000" w:rsidR="00000000" w:rsidRPr="00000000">
        <w:rPr>
          <w:rtl w:val="0"/>
        </w:rPr>
        <w:t xml:space="preserve">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Rio de Janeiro: Campus, 2014.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MAXIMIANO, Antonio César Amaru. </w:t>
      </w:r>
      <w:r w:rsidDel="00000000" w:rsidR="00000000" w:rsidRPr="00000000">
        <w:rPr>
          <w:b w:val="1"/>
          <w:rtl w:val="0"/>
        </w:rPr>
        <w:t xml:space="preserve">Introdução à Administração.</w:t>
      </w:r>
      <w:r w:rsidDel="00000000" w:rsidR="00000000" w:rsidRPr="00000000">
        <w:rPr>
          <w:rtl w:val="0"/>
        </w:rPr>
        <w:t xml:space="preserve"> 8.ed. São Paulo, SP: Atlas, 2012. 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OLIVEIRA, Djalma Pinho Rebouças de. </w:t>
      </w:r>
      <w:r w:rsidDel="00000000" w:rsidR="00000000" w:rsidRPr="00000000">
        <w:rPr>
          <w:b w:val="1"/>
          <w:rtl w:val="0"/>
        </w:rPr>
        <w:t xml:space="preserve">Introdução à Administração: </w:t>
      </w:r>
      <w:r w:rsidDel="00000000" w:rsidR="00000000" w:rsidRPr="00000000">
        <w:rPr>
          <w:rtl w:val="0"/>
        </w:rPr>
        <w:t xml:space="preserve">edição compacta. São Paulo: Atlas, 2012.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Bibliografia complementar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ABRANTES, José. </w:t>
      </w:r>
      <w:r w:rsidDel="00000000" w:rsidR="00000000" w:rsidRPr="00000000">
        <w:rPr>
          <w:b w:val="1"/>
          <w:rtl w:val="0"/>
        </w:rPr>
        <w:t xml:space="preserve">Teoria Geral da Administração:</w:t>
      </w:r>
      <w:r w:rsidDel="00000000" w:rsidR="00000000" w:rsidRPr="00000000">
        <w:rPr>
          <w:rtl w:val="0"/>
        </w:rPr>
        <w:t xml:space="preserve"> TGA: a antropologia empresarial e a problemática ambiental. Rio de Janeiro: Interciência, 2012. 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ANDRADE, R. O. B.; AMBONI, N. </w:t>
      </w:r>
      <w:r w:rsidDel="00000000" w:rsidR="00000000" w:rsidRPr="00000000">
        <w:rPr>
          <w:b w:val="1"/>
          <w:rtl w:val="0"/>
        </w:rPr>
        <w:t xml:space="preserve">TGA </w:t>
      </w:r>
      <w:r w:rsidDel="00000000" w:rsidR="00000000" w:rsidRPr="00000000">
        <w:rPr>
          <w:rtl w:val="0"/>
        </w:rPr>
        <w:t xml:space="preserve">– Teoria Geral da Administração. 2.ed. Rio de Janeiro: Elsevier, 2017.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DRUCKER, Peter. F. </w:t>
      </w:r>
      <w:r w:rsidDel="00000000" w:rsidR="00000000" w:rsidRPr="00000000">
        <w:rPr>
          <w:b w:val="1"/>
          <w:rtl w:val="0"/>
        </w:rPr>
        <w:t xml:space="preserve">Introdução à Administração. </w:t>
      </w:r>
      <w:r w:rsidDel="00000000" w:rsidR="00000000" w:rsidRPr="00000000">
        <w:rPr>
          <w:rtl w:val="0"/>
        </w:rPr>
        <w:t xml:space="preserve">São Paulo: Cengage, 2019.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KOTLER, Philip. </w:t>
      </w:r>
      <w:r w:rsidDel="00000000" w:rsidR="00000000" w:rsidRPr="00000000">
        <w:rPr>
          <w:b w:val="1"/>
          <w:rtl w:val="0"/>
        </w:rPr>
        <w:t xml:space="preserve">Administração de Marketing: </w:t>
      </w:r>
      <w:r w:rsidDel="00000000" w:rsidR="00000000" w:rsidRPr="00000000">
        <w:rPr>
          <w:rtl w:val="0"/>
        </w:rPr>
        <w:t xml:space="preserve">análise, planejamento, administração e controle. 5.ed. São Paulo: Atlas, 2012.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MAXIMIANO, Antonio César Amaru. </w:t>
      </w:r>
      <w:r w:rsidDel="00000000" w:rsidR="00000000" w:rsidRPr="00000000">
        <w:rPr>
          <w:b w:val="1"/>
          <w:rtl w:val="0"/>
        </w:rPr>
        <w:t xml:space="preserve">Teoria Geral da Administração: </w:t>
      </w:r>
      <w:r w:rsidDel="00000000" w:rsidR="00000000" w:rsidRPr="00000000">
        <w:rPr>
          <w:rtl w:val="0"/>
        </w:rPr>
        <w:t xml:space="preserve">da revolução urbana à revolução digital. 8.ed. São Paulo: Atlas, 2018.</w:t>
      </w:r>
    </w:p>
    <w:p w:rsidR="00000000" w:rsidDel="00000000" w:rsidP="00000000" w:rsidRDefault="00000000" w:rsidRPr="00000000" w14:paraId="00000035">
      <w:pPr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line="360" w:lineRule="auto"/>
        <w:ind w:left="0" w:hanging="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ion Dariz" w:id="1" w:date="2022-01-25T17:17:12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Apenas para conhecimento, não há espaço entre o nº e a abreviatura. Já retirado o mencionado  espaçamento</w:t>
      </w:r>
    </w:p>
  </w:comment>
  <w:comment w:author="Jander Luis Fernandes Monks" w:id="0" w:date="2022-03-10T12:13:44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vigência muda apenas qdo muda a ementa.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4" w15:done="0"/>
  <w15:commentEx w15:paraId="0000004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0" w:hanging="2"/>
      <w:jc w:val="center"/>
      <w:rPr>
        <w:sz w:val="6"/>
        <w:szCs w:val="6"/>
      </w:rPr>
    </w:pPr>
    <w:r w:rsidDel="00000000" w:rsidR="00000000" w:rsidRPr="00000000">
      <w:rPr/>
      <w:drawing>
        <wp:inline distB="0" distT="0" distL="114300" distR="114300">
          <wp:extent cx="443230" cy="4826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323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  <w:szCs w:val="20"/>
      <w:lang w:eastAsia="zh-CN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ind w:left="1560" w:hanging="426"/>
    </w:pPr>
    <w:rPr>
      <w:bCs w:val="1"/>
      <w:kern w:val="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Arial" w:cs="Arial" w:hAnsi="Aria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Times New Roman" w:eastAsia="Times New Roman" w:hAnsi="Arial"/>
      <w:bCs w:val="1"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Times New Roman" w:eastAsia="Times New Roman" w:hAnsi="Arial"/>
      <w:bCs w:val="1"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LinkdaInternet" w:customStyle="1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rFonts w:ascii="Times New Roman" w:cs="Times New Roman" w:hAnsi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10" w:customStyle="1">
    <w:name w:val="Título1"/>
    <w:basedOn w:val="Normal"/>
    <w:next w:val="Normal"/>
    <w:pPr>
      <w:spacing w:after="60" w:before="240"/>
    </w:pPr>
    <w:rPr>
      <w:bCs w:val="1"/>
      <w:kern w:val="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Nivel2Contedo" w:customStyle="1">
    <w:name w:val="Nivel 2 Conteúdo"/>
    <w:basedOn w:val="Ttulo1"/>
    <w:next w:val="Normal"/>
    <w:pPr>
      <w:numPr>
        <w:numId w:val="0"/>
      </w:numPr>
      <w:ind w:left="2127" w:leftChars="-1" w:hanging="567" w:hangingChars="1"/>
    </w:pPr>
    <w:rPr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color w:val="000000"/>
      <w:position w:val="-1"/>
      <w:lang w:eastAsia="zh-C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FD24A1"/>
    <w:rPr>
      <w:rFonts w:eastAsia="Times New Roman"/>
      <w:position w:val="-1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Y/psMuTR0GTt5wWwmDbyiraUw==">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2019-03-22T20:14:00Z</dcterms:created>
  <dc:creator>DIREN</dc:creator>
</cp:coreProperties>
</file>