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5.0" w:type="dxa"/>
        <w:jc w:val="left"/>
        <w:tblInd w:w="0.0" w:type="dxa"/>
        <w:tblLayout w:type="fixed"/>
        <w:tblLook w:val="0000"/>
      </w:tblPr>
      <w:tblGrid>
        <w:gridCol w:w="4286"/>
        <w:gridCol w:w="4229"/>
        <w:tblGridChange w:id="0">
          <w:tblGrid>
            <w:gridCol w:w="4286"/>
            <w:gridCol w:w="422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DISCIPLINA: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Matemática Básica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Vigência: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a partir de </w:t>
            </w:r>
            <w:r w:rsidDel="00000000" w:rsidR="00000000" w:rsidRPr="00000000">
              <w:rPr>
                <w:color w:val="000000"/>
                <w:highlight w:val="green"/>
                <w:rtl w:val="0"/>
              </w:rPr>
              <w:t xml:space="preserve">2021/2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Período letivo:</w:t>
            </w:r>
            <w:r w:rsidDel="00000000" w:rsidR="00000000" w:rsidRPr="00000000">
              <w:rPr>
                <w:color w:val="000000"/>
                <w:rtl w:val="0"/>
              </w:rPr>
              <w:t xml:space="preserve"> 1º semestre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Carga horária total: </w:t>
            </w:r>
            <w:r w:rsidDel="00000000" w:rsidR="00000000" w:rsidRPr="00000000">
              <w:rPr>
                <w:color w:val="000000"/>
                <w:rtl w:val="0"/>
              </w:rPr>
              <w:t xml:space="preserve">60h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Código: </w:t>
            </w:r>
            <w:r w:rsidDel="00000000" w:rsidR="00000000" w:rsidRPr="00000000">
              <w:rPr>
                <w:color w:val="000000"/>
                <w:highlight w:val="green"/>
                <w:rtl w:val="0"/>
              </w:rPr>
              <w:t xml:space="preserve">LJ_TPG.0004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Ementa: </w:t>
            </w:r>
            <w:r w:rsidDel="00000000" w:rsidR="00000000" w:rsidRPr="00000000">
              <w:rPr>
                <w:color w:val="000000"/>
                <w:rtl w:val="0"/>
              </w:rPr>
              <w:t xml:space="preserve">Estudo de porcentagem. Definição de razão e de proporção. Estudo de grandezas proporcionais. Aplicação de divisão proporcional. Estudo de regra de três simples e composta. Desenvolvimento de raciocínio lógico. Definição, representação e aplicação de funções do 1º grau, do 2º grau, exponenciais e logarítmicas.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Conteúdos</w:t>
      </w: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UNIDADE I – Matemática comercial e raciocínio lógico</w:t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13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 Porcentagem: descontos e acréscimos.</w:t>
      </w:r>
    </w:p>
    <w:p w:rsidR="00000000" w:rsidDel="00000000" w:rsidP="00000000" w:rsidRDefault="00000000" w:rsidRPr="00000000" w14:paraId="0000000F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1.2 Razão.</w:t>
      </w:r>
    </w:p>
    <w:p w:rsidR="00000000" w:rsidDel="00000000" w:rsidP="00000000" w:rsidRDefault="00000000" w:rsidRPr="00000000" w14:paraId="00000010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1.3 Proporção: propriedade fundamental.</w:t>
      </w:r>
    </w:p>
    <w:p w:rsidR="00000000" w:rsidDel="00000000" w:rsidP="00000000" w:rsidRDefault="00000000" w:rsidRPr="00000000" w14:paraId="00000011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1.4 Grandezas proporcionais: diretamente e inversamente proporcionais.</w:t>
      </w:r>
    </w:p>
    <w:p w:rsidR="00000000" w:rsidDel="00000000" w:rsidP="00000000" w:rsidRDefault="00000000" w:rsidRPr="00000000" w14:paraId="00000012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1.5 Divisão proporcional: regra de sociedade.</w:t>
      </w:r>
    </w:p>
    <w:p w:rsidR="00000000" w:rsidDel="00000000" w:rsidP="00000000" w:rsidRDefault="00000000" w:rsidRPr="00000000" w14:paraId="00000013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1.6 Regra de três: simples e composta.</w:t>
      </w:r>
    </w:p>
    <w:p w:rsidR="00000000" w:rsidDel="00000000" w:rsidP="00000000" w:rsidRDefault="00000000" w:rsidRPr="00000000" w14:paraId="00000014">
      <w:pPr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1.7 Raciocínio lógico.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UNIDADE II – Funções</w:t>
      </w:r>
    </w:p>
    <w:p w:rsidR="00000000" w:rsidDel="00000000" w:rsidP="00000000" w:rsidRDefault="00000000" w:rsidRPr="00000000" w14:paraId="00000017">
      <w:pPr>
        <w:tabs>
          <w:tab w:val="left" w:pos="1134"/>
          <w:tab w:val="left" w:pos="1560"/>
        </w:tabs>
        <w:spacing w:line="240" w:lineRule="auto"/>
        <w:ind w:left="1134" w:firstLine="0"/>
        <w:rPr/>
      </w:pPr>
      <w:r w:rsidDel="00000000" w:rsidR="00000000" w:rsidRPr="00000000">
        <w:rPr>
          <w:rtl w:val="0"/>
        </w:rPr>
        <w:t xml:space="preserve">2.1 Função: definição e representação por meio de tabelas, gráficos e fórmulas.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560"/>
        </w:tabs>
        <w:spacing w:line="240" w:lineRule="auto"/>
        <w:ind w:left="113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 Função do 1º grau: definição, construção e análise de gráficos e aplicações de funções do 1º grau.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269"/>
        </w:tabs>
        <w:spacing w:line="240" w:lineRule="auto"/>
        <w:ind w:left="1134" w:firstLine="0"/>
        <w:rPr>
          <w:color w:val="000000"/>
        </w:rPr>
      </w:pPr>
      <w:r w:rsidDel="00000000" w:rsidR="00000000" w:rsidRPr="00000000">
        <w:rPr>
          <w:rtl w:val="0"/>
        </w:rPr>
        <w:t xml:space="preserve">2.3 </w:t>
      </w:r>
      <w:r w:rsidDel="00000000" w:rsidR="00000000" w:rsidRPr="00000000">
        <w:rPr>
          <w:color w:val="000000"/>
          <w:rtl w:val="0"/>
        </w:rPr>
        <w:t xml:space="preserve">Função do 2º grau: definição, construção e análise de gráficos e aplicações de funções do 2º grau.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560"/>
        </w:tabs>
        <w:spacing w:line="240" w:lineRule="auto"/>
        <w:ind w:left="113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2.4 Função exponencial: equações exponenciais; definição, representação gráfica e aplicações de funções exponenciais.</w:t>
      </w:r>
    </w:p>
    <w:p w:rsidR="00000000" w:rsidDel="00000000" w:rsidP="00000000" w:rsidRDefault="00000000" w:rsidRPr="00000000" w14:paraId="0000001B">
      <w:pPr>
        <w:keepNext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560"/>
        </w:tabs>
        <w:spacing w:line="240" w:lineRule="auto"/>
        <w:ind w:left="1134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2.5 Função logarítmica: definição de logaritmo; representação gráfica e aplicações de funções logarítmicas.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DEMANA, Franklin D. </w:t>
      </w:r>
      <w:r w:rsidDel="00000000" w:rsidR="00000000" w:rsidRPr="00000000">
        <w:rPr>
          <w:i w:val="1"/>
          <w:rtl w:val="0"/>
        </w:rPr>
        <w:t xml:space="preserve">et al.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Pré-cálculo</w:t>
      </w:r>
      <w:r w:rsidDel="00000000" w:rsidR="00000000" w:rsidRPr="00000000">
        <w:rPr>
          <w:rtl w:val="0"/>
        </w:rPr>
        <w:t xml:space="preserve">. 2.ed. São Paulo: Addison Wesley Brasil, 2016.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IEZZI, Gelson; MURAKAMI, Carlos. </w:t>
      </w:r>
      <w:r w:rsidDel="00000000" w:rsidR="00000000" w:rsidRPr="00000000">
        <w:rPr>
          <w:b w:val="1"/>
          <w:rtl w:val="0"/>
        </w:rPr>
        <w:t xml:space="preserve">Fundamentos de Matemática Elementar: </w:t>
      </w:r>
      <w:r w:rsidDel="00000000" w:rsidR="00000000" w:rsidRPr="00000000">
        <w:rPr>
          <w:rtl w:val="0"/>
        </w:rPr>
        <w:t xml:space="preserve">conjuntos e funções. 9.ed. São Paulo: Atual, 2013. v. 1.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MEDEIROS, Valéria Zuma (coord.). </w:t>
      </w:r>
      <w:r w:rsidDel="00000000" w:rsidR="00000000" w:rsidRPr="00000000">
        <w:rPr>
          <w:b w:val="1"/>
          <w:rtl w:val="0"/>
        </w:rPr>
        <w:t xml:space="preserve">Pré-Cálculo.</w:t>
      </w:r>
      <w:r w:rsidDel="00000000" w:rsidR="00000000" w:rsidRPr="00000000">
        <w:rPr>
          <w:rtl w:val="0"/>
        </w:rPr>
        <w:t xml:space="preserve"> 3.ed. São Paulo: Cengage Learning, 2015.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Bibliografia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>
          <w:color w:val="00000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highlight w:val="green"/>
          <w:rtl w:val="0"/>
        </w:rPr>
        <w:t xml:space="preserve">CASTANHEIRA, Nelson Pereira. </w:t>
      </w:r>
      <w:r w:rsidDel="00000000" w:rsidR="00000000" w:rsidRPr="00000000">
        <w:rPr>
          <w:b w:val="1"/>
          <w:color w:val="000000"/>
          <w:highlight w:val="green"/>
          <w:rtl w:val="0"/>
        </w:rPr>
        <w:t xml:space="preserve">Noções Básicas de Matemática Comercial e Financeira. </w:t>
      </w:r>
      <w:r w:rsidDel="00000000" w:rsidR="00000000" w:rsidRPr="00000000">
        <w:rPr>
          <w:color w:val="000000"/>
          <w:highlight w:val="green"/>
          <w:rtl w:val="0"/>
        </w:rPr>
        <w:t xml:space="preserve">Curitiba: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color w:val="000000"/>
          <w:highlight w:val="green"/>
          <w:rtl w:val="0"/>
        </w:rPr>
        <w:t xml:space="preserve">Editora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color w:val="000000"/>
          <w:highlight w:val="green"/>
          <w:rtl w:val="0"/>
        </w:rPr>
        <w:t xml:space="preserve"> IBPEX,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color w:val="000000"/>
          <w:highlight w:val="green"/>
          <w:rtl w:val="0"/>
        </w:rPr>
        <w:t xml:space="preserve">2012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color w:val="000000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DANTE, Luiz Roberto. </w:t>
      </w:r>
      <w:r w:rsidDel="00000000" w:rsidR="00000000" w:rsidRPr="00000000">
        <w:rPr>
          <w:b w:val="1"/>
          <w:rtl w:val="0"/>
        </w:rPr>
        <w:t xml:space="preserve">Matemática:</w:t>
      </w:r>
      <w:r w:rsidDel="00000000" w:rsidR="00000000" w:rsidRPr="00000000">
        <w:rPr>
          <w:rtl w:val="0"/>
        </w:rPr>
        <w:t xml:space="preserve"> Contexto e Aplicações. 3.ed. São Paulo: Ática, 2018.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IEZZI, Gelson. </w:t>
      </w:r>
      <w:r w:rsidDel="00000000" w:rsidR="00000000" w:rsidRPr="00000000">
        <w:rPr>
          <w:i w:val="1"/>
          <w:rtl w:val="0"/>
        </w:rPr>
        <w:t xml:space="preserve">et al.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Matemática:</w:t>
      </w:r>
      <w:r w:rsidDel="00000000" w:rsidR="00000000" w:rsidRPr="00000000">
        <w:rPr>
          <w:rtl w:val="0"/>
        </w:rPr>
        <w:t xml:space="preserve"> Ciência e Aplicações. 8.ed. São Paulo: Saraiva, 2014. </w:t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IEZZI, Gelson; HAZZAN, Samuel; DEGENSZAJN, David. </w:t>
      </w:r>
      <w:r w:rsidDel="00000000" w:rsidR="00000000" w:rsidRPr="00000000">
        <w:rPr>
          <w:b w:val="1"/>
          <w:rtl w:val="0"/>
        </w:rPr>
        <w:t xml:space="preserve">Fundamentos de Matemática Elementar: </w:t>
      </w:r>
      <w:r w:rsidDel="00000000" w:rsidR="00000000" w:rsidRPr="00000000">
        <w:rPr>
          <w:rtl w:val="0"/>
        </w:rPr>
        <w:t xml:space="preserve">matemática comercial, matemática financeira, estatística descritiva. 2.ed. São Paulo: Atual, 2013. v. 11.</w:t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PAIVA, Manoel Rodrigues. </w:t>
      </w:r>
      <w:r w:rsidDel="00000000" w:rsidR="00000000" w:rsidRPr="00000000">
        <w:rPr>
          <w:b w:val="1"/>
          <w:rtl w:val="0"/>
        </w:rPr>
        <w:t xml:space="preserve">Matemática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b w:val="1"/>
          <w:color w:val="ff0000"/>
          <w:rtl w:val="0"/>
        </w:rPr>
        <w:t xml:space="preserve">Paiva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. 3.ed. São Paulo: Moderna, 2015.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701" w:right="1701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ander Luis Fernandes Monks" w:id="0" w:date="2022-03-10T12:14:17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vigência muda apenas qdo muda a ementa.</w:t>
      </w:r>
    </w:p>
  </w:comment>
  <w:comment w:author="Marion Dariz" w:id="1" w:date="2022-01-25T17:24:04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Normalmente não se usa a palavra editora.</w:t>
      </w:r>
    </w:p>
  </w:comment>
  <w:comment w:author="Marion Dariz" w:id="3" w:date="2022-01-25T17:30:15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Parece-me que Paiva faz parte do título, não é um subtítulo. Assim sendo, também ficará negritado. Um questionamento: essa é uma coleção, com v, 1, 2 e 3. Não haveria necessidade de identificar?</w:t>
      </w:r>
    </w:p>
  </w:comment>
  <w:comment w:author="Marion Dariz" w:id="2" w:date="2022-01-25T17:31:38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@Amílcar, o motivo da marcação em verde é devido a um título acrescentado?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5" w15:done="0"/>
  <w15:commentEx w15:paraId="00000036" w15:done="0"/>
  <w15:commentEx w15:paraId="00000037" w15:done="0"/>
  <w15:commentEx w15:paraId="0000003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ind w:left="0" w:hanging="2"/>
      <w:jc w:val="center"/>
      <w:rPr>
        <w:sz w:val="6"/>
        <w:szCs w:val="6"/>
      </w:rPr>
    </w:pPr>
    <w:r w:rsidDel="00000000" w:rsidR="00000000" w:rsidRPr="00000000">
      <w:rPr/>
      <w:drawing>
        <wp:inline distB="0" distT="0" distL="114300" distR="114300">
          <wp:extent cx="423545" cy="46418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3545" cy="464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Sul-rio-grandense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ind w:left="0" w:hanging="2"/>
      <w:jc w:val="center"/>
      <w:rPr/>
    </w:pPr>
    <w:r w:rsidDel="00000000" w:rsidR="00000000" w:rsidRPr="00000000">
      <w:rPr>
        <w:sz w:val="20"/>
        <w:szCs w:val="20"/>
        <w:rtl w:val="0"/>
      </w:rPr>
      <w:t xml:space="preserve">Pró-Reitoria de Ensino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560" w:hanging="425.99999999999994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ind w:left="1560" w:hanging="426"/>
    </w:pPr>
    <w:rPr>
      <w:bCs w:val="1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szCs w:val="24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szCs w:val="24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CorpodetextoChar" w:customStyle="1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Arial" w:cs="Times New Roman" w:eastAsia="Times New Roman" w:hAnsi="Arial"/>
      <w:bCs w:val="1"/>
      <w:w w:val="100"/>
      <w:kern w:val="1"/>
      <w:position w:val="-1"/>
      <w:sz w:val="24"/>
      <w:szCs w:val="32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Times New Roman" w:eastAsia="Times New Roman" w:hAnsi="Arial"/>
      <w:bCs w:val="1"/>
      <w:w w:val="100"/>
      <w:kern w:val="1"/>
      <w:position w:val="-1"/>
      <w:sz w:val="24"/>
      <w:szCs w:val="32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Corpodetexto">
    <w:name w:val="Body Text"/>
    <w:basedOn w:val="Normal"/>
    <w:rPr>
      <w:rFonts w:ascii="Times New Roman" w:cs="Times New Roman" w:hAnsi="Times New Roma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tulo20" w:customStyle="1">
    <w:name w:val="Título2"/>
    <w:basedOn w:val="Normal"/>
    <w:pPr>
      <w:keepNext w:val="1"/>
      <w:spacing w:after="120" w:before="240"/>
    </w:pPr>
    <w:rPr>
      <w:rFonts w:ascii="Liberation Sans" w:cs="Liberation Sans" w:eastAsia="Microsoft YaHei" w:hAnsi="Liberation Sans"/>
      <w:sz w:val="28"/>
      <w:szCs w:val="28"/>
    </w:rPr>
  </w:style>
  <w:style w:type="paragraph" w:styleId="Ttulo10" w:customStyle="1">
    <w:name w:val="Título1"/>
    <w:basedOn w:val="Normal"/>
    <w:next w:val="Normal"/>
    <w:pPr>
      <w:spacing w:after="60" w:before="240"/>
    </w:pPr>
    <w:rPr>
      <w:bCs w:val="1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 w:val="1"/>
    </w:pPr>
    <w:rPr>
      <w:rFonts w:ascii="Calibri" w:cs="Calibri" w:eastAsia="Calibri" w:hAnsi="Calibri"/>
      <w:sz w:val="22"/>
      <w:szCs w:val="22"/>
    </w:rPr>
  </w:style>
  <w:style w:type="paragraph" w:styleId="Nivel2Contedo" w:customStyle="1">
    <w:name w:val="Nivel 2 Conteúdo"/>
    <w:basedOn w:val="Ttulo1"/>
    <w:next w:val="Normal"/>
    <w:pPr>
      <w:numPr>
        <w:numId w:val="0"/>
      </w:numPr>
      <w:ind w:left="2127" w:leftChars="-1" w:hanging="567" w:hangingChars="1"/>
    </w:pPr>
    <w:rPr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Corpodotexto" w:customStyle="1">
    <w:name w:val="Corpo do texto"/>
    <w:basedOn w:val="Normal"/>
    <w:pPr>
      <w:spacing w:after="140" w:line="288" w:lineRule="auto"/>
    </w:pPr>
    <w:rPr>
      <w:rFonts w:ascii="Times New Roman" w:cs="Times New Roman" w:hAnsi="Times New Roma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rsid w:val="002009FA"/>
    <w:rPr>
      <w:kern w:val="1"/>
      <w:position w:val="-1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P5tApK3hHMVBjFn25J9EsWKqg==">AMUW2mVltrin/GBzSWJVJv1fqNpf5k+VCi/JaATKc3kIf4xJwK3RKPez7zCpPBzTQEerCrKl9WSxQ1eZE/8crUdnJC3SpALI2V78BxBf3J7mwXE9/1/fFHfsI3ACHK8ZCCxu5SVpozSxDOqLECM6yM9YeIkWaO23DpTQrhiKZb3y125Ry60UYC0YMQNIlgbsQIPaPsYcTgmlEnQs2n5uYQdWe8NgDe0bzXDMMdek5Gu3EYNpB/ZeYD107eBsjGxnykRU/sPm75jfj1k5SvIl9ctLf74l29GiRYRsrexmBEFtYd0ofikDeWGzWQ5BUzS+JIOoiquivnC/6YjI/dbNeR6OcBTT4g8O5DMEuNuXweiFL8SV1rcdY0XQsLX9+DDrwDgsWw9LyO76ZH3a/KMt8ztya2n4zI2CQ25PhESqAoyngaNr54xWq57+WOtKhmvaZJtZMeyKOo5EBdf33higQwozspA9Yn9SsZ+Yvk/EAPtxFVbf6iE/rPFHptXUxQHPef//RQjDGqzDTQ76A/sVvA65cfAUgtwAk8zQsaqVnMrVmZU9Lovur8zwQZu1RxUPvODXsR3Z9CeGoZpmMV4EsJD9B4B1LTtPxDCbIheW88M5sFiRxulJqdi4ap0eLox0lUuCZqFPGcAe9jIMCTXKXuGoeBYwHNJ9iup+NQ8IbHiKgRmUSW4DT06IdFzTUXHkoBoQwVzQS+E1jdsk/jFdvSnA896VyIO11ip6VvClURLL/aPwCmxfSdYHxhpQxLwAIZGh9grRTYgWLEBIFwTQH/qUo+xV5OUgZiYIsdfgEyW8J3R437CF5e4Et46/M9MQwwe1acsfA4/tzWTpxSCCQdSnnjZQOIFSoKkjxNqjQAuJKgGypN74jE67OHYuzw0FMgaL6dIYnuBVABMSTPsyM6OaAGOTmz/j40lEWQ/RjWOJFcpNKEuAZfuHMPLPCOl0DmbaJw1UBR3xbuo+O1rKTSbzfJGXipfDN8FKRZGESCEKMvwZHT6oUhg32ZWHBfz5Ior5zl3jfguWHDAAB4aUnyohDQYbgLY8pKQiEhGN+WhN3unv6TcvzFrav9Npirjhcey/VIWcUd4Duyq5xHWAW7fy8Ilg9rbUUfE4Uw1kggo6vkPvoYJwEfLwvTrtwTlIXQu+I1gJU8XlDt/caWyHg8To8IenIHblcmMkXBmYuCORUFfyBHzoJrOyBCH2ZgS3UqUxfZwfVcpt5apPaeXNpA0M+Oattc8MRvEpFECcxHey/FtfXUkB7pRj3hVnuM1YkZ8S2gZG+pGvjWEHWRiX4EpCi50D4JteGefnuNIosTtd+4Qhkx+TorrI3ookYKRDF2HDZP6p5y2IGzmAtfdBrq34E1ZhCpRo1dU00HsnpJoV7UVZReq/iCpmdibeZa/NpH2Lr/JjzPshBRfmgoovG3y0Ql0uew+w4PBXniMHkYq52TEpq4SpvBzFE5xIBN22rNbhFvwrIXVB7fx6dWxHOQ6IZF0z6L65AGgOvcDeV4q5vgkSBaxlQzm1Z7aKx4IYYnUKusegyWNTR+MUyK7dY/1CIfFvedG6pK/Mk6pLLpm0NqjIur3sebpxbm3ej63iYJwLNZ+Q0cKzW+NOy7Vd8j9d+p80FCnGxZTLR7w8WSAmNlhM6+FYRXRdudFcT2V/syIbOXAklYDNdUcroUXGun0Vo3IHo6Xtj07qH+vvfF7Y4fkaVWyyIWdppPtppKYKRVqP4TsOa6x+OejO944IiOyIwL/6qro5xAQN8lwgXl4BlI5llpDT3Of2PwYOH2gNZJ2oikbdWEPe6Nk73k29x7lrobaoUUcMn3UJ/s+sv+tcimhBeDHH4sdIAHKgrpZe+huUkZ6KLjT/v19W2mI4IgTaSkiEoyRzIkxf6do7/eSFljEOlJ3K62789hmAhhc3CUbJYP8QivU5hN8fEJrEW6Vkn9iHUKvBULZeTQfH1Y6CcLnIZoJ1TxOfRyqn0kSjlmX+Q02ln//8X1b9ZYObzj/VvzOC5HxOkWhiet4y/rdIH6z3UBRNTi5tyuT0T/kSqjwLvAGh+TolNg8f9+DIK5+MIvs6LnTpm+0w/ZEdHRypOXz3InABz115E97lRT16FmSm31UPXJAnI3iZKu0QsXmt7Uleyj+rYE89bjBNkmAEYyEEa6/iJ6kYKHARmzzTuvhRI6ubAzEIFckwRHXlQr8gdcbgI1aE+RwLSsJEIafW4DlCZ6pIPo1gPyQJjMlmtyOjZH/bpmbdqth4WbQqhOUE2TU1LnqQpaRNbnE1hkPyCQ3T/fug7OohAaBVbaix3BuXoJbqhzTCLFWYcP4troH3JYgx/rdkenHfOTPllO9UBwiIc9DitVJZRvynLnVRW7IdQRQE60j2pYniKpLqYqlqdeOwQQX6IVusEjG8jK4c3hfaKm3qKZ10VhhvWnXzLwSDADqzaHo3nTFu1kxgNzhve+1TN9WXvzfsWaaEPBeKYi+/zquIwiaJZOV2lzKYP0SJNCoPxqwHkk6YCekgkGX5qS2i2a83gY2AkNqn4m4HYhzw6deKLzwXrrYmihKHcisfCkI2pITGPZpQJz72Ehpg8AbTHPW8v1vSnJHMb8ygMA2qmYsqz9x3CDMAkyLnAgjcBQyvcINLV9bDXTJpYWVolLk00o2JHZ9VLrNKs5vwzgHl9ExF4A0kAqcfXcgwNOTehQxMPhYQNPLWXX32sX1HAeszxkzjJM6PUw2bPGatoLB6Ibu8/GNtAPvRjhsp0qjQC7fl3R9RJaykPV0l0N5r0S/PJH1xYH8IGoRxKH7//ndavb2xw/U1+VHZCn/ODpLzx3lS6meUbzrw3Mg+mnpPNBxXvE2d336xrTSyvgSuTfPs4K3VZtxMqfEjM9RvIx7XlHvuxVf2gEziJx0RnWbHacUlfkg+KMIrgm5aYICnyY3gJwL6RXd0Ismy14bZq2/ojno8erFCTCKOKuC7IeI6JVzJp8cP1Oc6cyqO2+NUgcGjvUDCB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2021-12-08T11:47:00Z</dcterms:created>
  <dc:creator>DIREN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