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A6" w:rsidRDefault="00FD16A6" w:rsidP="00FD16A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</w:p>
    <w:p w:rsidR="00FD16A6" w:rsidRPr="00DC7F09" w:rsidRDefault="00FD16A6" w:rsidP="00FD16A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80" w:right="460"/>
        <w:jc w:val="center"/>
        <w:rPr>
          <w:rFonts w:ascii="Arial" w:hAnsi="Arial" w:cs="Arial"/>
          <w:b/>
          <w:bCs/>
          <w:sz w:val="20"/>
          <w:szCs w:val="20"/>
        </w:rPr>
      </w:pPr>
      <w:r w:rsidRPr="00DC7F09">
        <w:rPr>
          <w:rFonts w:ascii="Arial" w:hAnsi="Arial" w:cs="Arial"/>
          <w:b/>
          <w:bCs/>
          <w:sz w:val="20"/>
          <w:szCs w:val="20"/>
        </w:rPr>
        <w:t xml:space="preserve">MINISTÉRIO DA EDUCAÇÃO </w:t>
      </w:r>
    </w:p>
    <w:p w:rsidR="00FD16A6" w:rsidRPr="00DC7F09" w:rsidRDefault="00FD16A6" w:rsidP="00FD16A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80" w:right="460"/>
        <w:jc w:val="center"/>
        <w:rPr>
          <w:rFonts w:ascii="Arial" w:hAnsi="Arial" w:cs="Arial"/>
          <w:b/>
          <w:bCs/>
          <w:sz w:val="20"/>
          <w:szCs w:val="20"/>
        </w:rPr>
      </w:pPr>
      <w:r w:rsidRPr="00DC7F09">
        <w:rPr>
          <w:rFonts w:ascii="Arial" w:hAnsi="Arial" w:cs="Arial"/>
          <w:b/>
          <w:bCs/>
          <w:sz w:val="20"/>
          <w:szCs w:val="20"/>
        </w:rPr>
        <w:t xml:space="preserve">SECRETARIA DE EDUCAÇÃO PROFISSIONAL E TECNOLÓGICA </w:t>
      </w:r>
    </w:p>
    <w:p w:rsidR="00FD16A6" w:rsidRDefault="00FD16A6" w:rsidP="00FD16A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80" w:right="460"/>
        <w:jc w:val="center"/>
        <w:rPr>
          <w:rFonts w:ascii="Arial" w:hAnsi="Arial" w:cs="Arial"/>
          <w:b/>
          <w:bCs/>
          <w:sz w:val="20"/>
          <w:szCs w:val="20"/>
        </w:rPr>
      </w:pPr>
      <w:r w:rsidRPr="00DC7F09">
        <w:rPr>
          <w:rFonts w:ascii="Arial" w:hAnsi="Arial" w:cs="Arial"/>
          <w:b/>
          <w:bCs/>
          <w:sz w:val="20"/>
          <w:szCs w:val="20"/>
        </w:rPr>
        <w:t>INSTITUTO FEDERAL DE EDUCAÇÃO, CIÊNCIA E TECNOLOGIA SUL-RIO-GRANDENSE</w:t>
      </w:r>
    </w:p>
    <w:p w:rsidR="00FD16A6" w:rsidRPr="00DC7F09" w:rsidRDefault="00FD16A6" w:rsidP="00FD16A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80" w:right="4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DIRETORIA DE POLÍTICAS DE ENSINO E INCLUSÃO </w:t>
      </w:r>
      <w:r w:rsidRPr="00DC7F0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16A6" w:rsidRPr="00DC7F09" w:rsidRDefault="00FD16A6" w:rsidP="00FD16A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80" w:right="460"/>
        <w:jc w:val="center"/>
        <w:rPr>
          <w:rFonts w:ascii="Times New Roman" w:hAnsi="Times New Roman"/>
          <w:sz w:val="20"/>
          <w:szCs w:val="20"/>
        </w:rPr>
      </w:pPr>
      <w:r w:rsidRPr="00DC7F09">
        <w:rPr>
          <w:rFonts w:ascii="Arial" w:hAnsi="Arial" w:cs="Arial"/>
          <w:b/>
          <w:bCs/>
          <w:sz w:val="20"/>
          <w:szCs w:val="20"/>
        </w:rPr>
        <w:t>PRÓ-REITORIA DE ENSINO</w:t>
      </w:r>
    </w:p>
    <w:p w:rsidR="00FD16A6" w:rsidRDefault="00FD16A6" w:rsidP="00FD16A6">
      <w:pPr>
        <w:widowControl w:val="0"/>
        <w:autoSpaceDE w:val="0"/>
        <w:autoSpaceDN w:val="0"/>
        <w:adjustRightInd w:val="0"/>
        <w:spacing w:after="0" w:line="239" w:lineRule="auto"/>
        <w:ind w:left="3280"/>
        <w:rPr>
          <w:rFonts w:ascii="Times New Roman" w:hAnsi="Times New Roman"/>
          <w:sz w:val="24"/>
          <w:szCs w:val="24"/>
        </w:rPr>
      </w:pPr>
    </w:p>
    <w:p w:rsidR="00FD16A6" w:rsidRDefault="00FD16A6" w:rsidP="00FD16A6">
      <w:pPr>
        <w:widowControl w:val="0"/>
        <w:autoSpaceDE w:val="0"/>
        <w:autoSpaceDN w:val="0"/>
        <w:adjustRightInd w:val="0"/>
        <w:spacing w:after="0" w:line="239" w:lineRule="auto"/>
        <w:ind w:left="3280"/>
        <w:rPr>
          <w:rFonts w:ascii="Times New Roman" w:hAnsi="Times New Roman"/>
          <w:sz w:val="24"/>
          <w:szCs w:val="24"/>
        </w:rPr>
      </w:pPr>
    </w:p>
    <w:p w:rsidR="00FD16A6" w:rsidRPr="00FD16A6" w:rsidRDefault="00FD16A6" w:rsidP="00FD16A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color w:val="auto"/>
          <w:sz w:val="36"/>
          <w:szCs w:val="36"/>
        </w:rPr>
      </w:pPr>
      <w:r w:rsidRPr="00FD16A6">
        <w:rPr>
          <w:rFonts w:ascii="Times New Roman" w:hAnsi="Times New Roman"/>
          <w:color w:val="auto"/>
          <w:sz w:val="36"/>
          <w:szCs w:val="36"/>
        </w:rPr>
        <w:t xml:space="preserve">COMUNICADO PROEN </w:t>
      </w:r>
    </w:p>
    <w:p w:rsidR="00FD16A6" w:rsidRDefault="00FD16A6" w:rsidP="00FD16A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FF0000"/>
          <w:sz w:val="36"/>
          <w:szCs w:val="36"/>
        </w:rPr>
      </w:pPr>
    </w:p>
    <w:p w:rsidR="00FD16A6" w:rsidRDefault="00FD16A6" w:rsidP="00FD16A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color w:val="FF0000"/>
          <w:sz w:val="36"/>
          <w:szCs w:val="36"/>
        </w:rPr>
        <w:t>DOCENTES QUE NÃO POSSUEM LICENCIATURA E FORMAÇÃO PEDAGÓGICA E ATUAM EM EPT</w:t>
      </w:r>
    </w:p>
    <w:p w:rsidR="00FD16A6" w:rsidRPr="00FD16A6" w:rsidRDefault="00FD16A6" w:rsidP="00FD16A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FD16A6" w:rsidRDefault="00FD16A6" w:rsidP="00FD16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5BB1" w:rsidRDefault="00131DDD">
      <w:pPr>
        <w:spacing w:after="267" w:line="249" w:lineRule="auto"/>
        <w:ind w:left="-15" w:right="2"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Queremos comunicar as iniciativas e possibilidades institucionais no que se refere à formação para a docência em EPT. </w:t>
      </w:r>
    </w:p>
    <w:p w:rsidR="00F57CE4" w:rsidRDefault="00131DDD">
      <w:pPr>
        <w:spacing w:after="267" w:line="249" w:lineRule="auto"/>
        <w:ind w:left="-15" w:right="2" w:firstLine="700"/>
        <w:jc w:val="both"/>
      </w:pPr>
      <w:r>
        <w:rPr>
          <w:rFonts w:ascii="Times New Roman" w:eastAsia="Times New Roman" w:hAnsi="Times New Roman" w:cs="Times New Roman"/>
          <w:sz w:val="24"/>
        </w:rPr>
        <w:t>Por isto, trazemos o recorte da legislação e as ações que estendemos para os docentes do IFC.</w:t>
      </w:r>
    </w:p>
    <w:p w:rsidR="00F57CE4" w:rsidRDefault="00131DDD">
      <w:pPr>
        <w:spacing w:after="230" w:line="249" w:lineRule="auto"/>
        <w:ind w:left="-15" w:right="2" w:firstLine="700"/>
        <w:jc w:val="both"/>
      </w:pPr>
      <w:r>
        <w:rPr>
          <w:rFonts w:ascii="Times New Roman" w:eastAsia="Times New Roman" w:hAnsi="Times New Roman" w:cs="Times New Roman"/>
          <w:sz w:val="24"/>
        </w:rPr>
        <w:t>Inicialmente, observe a Resolução CNE/CEB nº 6 de 20/09/2012 que define Diretrizes Curriculares Nacionais para a Educação Profissional Técnica de Nível Médio. Nos termos do Art. 40, quanto à formação para atuação docente na EPT, assim estabelece:</w:t>
      </w:r>
    </w:p>
    <w:p w:rsidR="00F57CE4" w:rsidRPr="00212EA0" w:rsidRDefault="00131DDD">
      <w:pPr>
        <w:spacing w:after="4" w:line="249" w:lineRule="auto"/>
        <w:ind w:left="2123" w:right="8" w:hanging="10"/>
        <w:jc w:val="both"/>
        <w:rPr>
          <w:i/>
        </w:rPr>
      </w:pPr>
      <w:r w:rsidRPr="00212EA0">
        <w:rPr>
          <w:rFonts w:ascii="Times New Roman" w:eastAsia="Times New Roman" w:hAnsi="Times New Roman" w:cs="Times New Roman"/>
          <w:i/>
          <w:sz w:val="20"/>
        </w:rPr>
        <w:t>Artigo 40 A formação inicial para a docência na Educação Profissional Técnica de Nível Médio realiza-se em cursos de graduação e programas de licenciatura ou outras formas, em consonância com a legislação e com normas específicas definidas pelo Conselho Nacional de Educação.</w:t>
      </w:r>
    </w:p>
    <w:p w:rsidR="00F57CE4" w:rsidRPr="00212EA0" w:rsidRDefault="00131DDD">
      <w:pPr>
        <w:spacing w:after="4" w:line="249" w:lineRule="auto"/>
        <w:ind w:left="2123" w:right="8" w:hanging="10"/>
        <w:jc w:val="both"/>
        <w:rPr>
          <w:i/>
        </w:rPr>
      </w:pPr>
      <w:r w:rsidRPr="00212EA0">
        <w:rPr>
          <w:rFonts w:ascii="Times New Roman" w:eastAsia="Times New Roman" w:hAnsi="Times New Roman" w:cs="Times New Roman"/>
          <w:i/>
          <w:sz w:val="20"/>
        </w:rPr>
        <w:t xml:space="preserve">§ 1º </w:t>
      </w:r>
      <w:r w:rsidRPr="00212EA0">
        <w:rPr>
          <w:rFonts w:ascii="Times New Roman" w:eastAsia="Times New Roman" w:hAnsi="Times New Roman" w:cs="Times New Roman"/>
          <w:b/>
          <w:i/>
          <w:sz w:val="20"/>
        </w:rPr>
        <w:t>Os sistemas de ensino devem viabilizar a formação</w:t>
      </w:r>
      <w:r w:rsidRPr="00212EA0">
        <w:rPr>
          <w:rFonts w:ascii="Times New Roman" w:eastAsia="Times New Roman" w:hAnsi="Times New Roman" w:cs="Times New Roman"/>
          <w:i/>
          <w:sz w:val="20"/>
        </w:rPr>
        <w:t xml:space="preserve"> a que se refere o caput deste artigo, podendo ser organizada em cooperação com o Ministério da Educação e instituições de Educação Superior.</w:t>
      </w:r>
    </w:p>
    <w:p w:rsidR="00F57CE4" w:rsidRPr="00212EA0" w:rsidRDefault="00131DDD">
      <w:pPr>
        <w:spacing w:after="4" w:line="249" w:lineRule="auto"/>
        <w:ind w:left="2123" w:right="8" w:hanging="10"/>
        <w:jc w:val="both"/>
        <w:rPr>
          <w:b/>
          <w:i/>
        </w:rPr>
      </w:pPr>
      <w:r w:rsidRPr="00212EA0">
        <w:rPr>
          <w:rFonts w:ascii="Times New Roman" w:eastAsia="Times New Roman" w:hAnsi="Times New Roman" w:cs="Times New Roman"/>
          <w:i/>
          <w:sz w:val="20"/>
        </w:rPr>
        <w:t xml:space="preserve">§ 2º </w:t>
      </w:r>
      <w:r w:rsidRPr="00212EA0">
        <w:rPr>
          <w:rFonts w:ascii="Times New Roman" w:eastAsia="Times New Roman" w:hAnsi="Times New Roman" w:cs="Times New Roman"/>
          <w:b/>
          <w:i/>
          <w:sz w:val="20"/>
        </w:rPr>
        <w:t>Aos professores graduados, não licenciados, em efetivo exercício na profissão docente ou aprovados em concurso público, é assegurado o direito de participar ou ter reconhecidos seus saberes profissionais em processos destinados à formação pedagógica ou à certificação da experiência docente, podendo ser considerado equivalente às licenciaturas:</w:t>
      </w:r>
    </w:p>
    <w:p w:rsidR="00F57CE4" w:rsidRDefault="00131DDD">
      <w:pPr>
        <w:numPr>
          <w:ilvl w:val="0"/>
          <w:numId w:val="1"/>
        </w:numPr>
        <w:spacing w:after="4" w:line="249" w:lineRule="auto"/>
        <w:ind w:right="8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excepcionalmente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, na forma de pós-graduação lato sensu</w:t>
      </w:r>
      <w:r>
        <w:rPr>
          <w:rFonts w:ascii="Times New Roman" w:eastAsia="Times New Roman" w:hAnsi="Times New Roman" w:cs="Times New Roman"/>
          <w:sz w:val="20"/>
        </w:rPr>
        <w:t>, de caráter pedagógico, sendo o trabalho de conclusão de curso, preferencialmente, projeto de intervenção relativo à prática docente;</w:t>
      </w:r>
    </w:p>
    <w:p w:rsidR="00F57CE4" w:rsidRDefault="00131DDD">
      <w:pPr>
        <w:numPr>
          <w:ilvl w:val="0"/>
          <w:numId w:val="1"/>
        </w:numPr>
        <w:spacing w:after="4" w:line="249" w:lineRule="auto"/>
        <w:ind w:right="8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excepcionalmente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, na forma de reconhecimento total ou parcial dos saberes profissionais de docentes</w:t>
      </w:r>
      <w:r>
        <w:rPr>
          <w:rFonts w:ascii="Times New Roman" w:eastAsia="Times New Roman" w:hAnsi="Times New Roman" w:cs="Times New Roman"/>
          <w:sz w:val="20"/>
        </w:rPr>
        <w:t>, com mais de 10 (dez) anos de efetivo exercício como professores da Educação Profissional, no âmbito da Rede CERTIFIC;</w:t>
      </w:r>
    </w:p>
    <w:p w:rsidR="00F57CE4" w:rsidRDefault="00131DDD">
      <w:pPr>
        <w:numPr>
          <w:ilvl w:val="0"/>
          <w:numId w:val="1"/>
        </w:numPr>
        <w:spacing w:after="4" w:line="249" w:lineRule="auto"/>
        <w:ind w:right="8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0"/>
        </w:rPr>
        <w:t>na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forma de uma </w:t>
      </w:r>
      <w:r>
        <w:rPr>
          <w:rFonts w:ascii="Times New Roman" w:eastAsia="Times New Roman" w:hAnsi="Times New Roman" w:cs="Times New Roman"/>
          <w:b/>
          <w:sz w:val="20"/>
        </w:rPr>
        <w:t>segunda licenciatura</w:t>
      </w:r>
      <w:r>
        <w:rPr>
          <w:rFonts w:ascii="Times New Roman" w:eastAsia="Times New Roman" w:hAnsi="Times New Roman" w:cs="Times New Roman"/>
          <w:sz w:val="20"/>
        </w:rPr>
        <w:t>, diversa da sua graduação original, a qual o habilitará ao exercício docente.</w:t>
      </w:r>
    </w:p>
    <w:p w:rsidR="00F57CE4" w:rsidRDefault="00131DDD">
      <w:pPr>
        <w:spacing w:after="4" w:line="249" w:lineRule="auto"/>
        <w:ind w:left="2123" w:right="8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§ 3º </w:t>
      </w:r>
      <w:r>
        <w:rPr>
          <w:rFonts w:ascii="Times New Roman" w:eastAsia="Times New Roman" w:hAnsi="Times New Roman" w:cs="Times New Roman"/>
          <w:b/>
          <w:sz w:val="20"/>
        </w:rPr>
        <w:t>O prazo para o cumprimento da excepcionalidade</w:t>
      </w:r>
      <w:r>
        <w:rPr>
          <w:rFonts w:ascii="Times New Roman" w:eastAsia="Times New Roman" w:hAnsi="Times New Roman" w:cs="Times New Roman"/>
          <w:sz w:val="20"/>
        </w:rPr>
        <w:t xml:space="preserve"> prevista nos incisos I e II do § 2º deste artigo para a formação pedagógica dos docentes em efetivo exercício da profissão, </w:t>
      </w:r>
      <w:r>
        <w:rPr>
          <w:rFonts w:ascii="Times New Roman" w:eastAsia="Times New Roman" w:hAnsi="Times New Roman" w:cs="Times New Roman"/>
          <w:b/>
          <w:sz w:val="20"/>
        </w:rPr>
        <w:t>encerrar-se-á no ano de 2020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F57CE4" w:rsidRDefault="00131DDD">
      <w:pPr>
        <w:spacing w:after="279" w:line="249" w:lineRule="auto"/>
        <w:ind w:left="2123" w:right="8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§ 4º A formação inicial não esgota as possibilidades de qualificação profissional e desenvolvimento dos professores da Educação Profissional Técnica de Nível Médio, cabendo aos sistemas e às instituições de ensino a organização e viabilização de ações destinadas à formação continuada de professores. </w:t>
      </w:r>
    </w:p>
    <w:p w:rsidR="00F57CE4" w:rsidRDefault="00131DDD">
      <w:pPr>
        <w:spacing w:after="227" w:line="249" w:lineRule="auto"/>
        <w:ind w:left="-15" w:right="2" w:firstLine="700"/>
        <w:jc w:val="both"/>
      </w:pPr>
      <w:r>
        <w:rPr>
          <w:rFonts w:ascii="Times New Roman" w:eastAsia="Times New Roman" w:hAnsi="Times New Roman" w:cs="Times New Roman"/>
          <w:sz w:val="24"/>
        </w:rPr>
        <w:t>Ainda, a Resolução CNE/CP n</w:t>
      </w:r>
      <w:r>
        <w:rPr>
          <w:rFonts w:ascii="Times New Roman" w:eastAsia="Times New Roman" w:hAnsi="Times New Roman" w:cs="Times New Roman"/>
          <w:u w:val="single" w:color="000000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2/2015, que define as Diretrizes Curriculares Nacionais para a formação inicial e continuada de professores, dispõe sobre a segunda licenciatura, em seu artigo 15, nos seguintes termos:</w:t>
      </w:r>
    </w:p>
    <w:p w:rsidR="00F57CE4" w:rsidRDefault="00131DDD">
      <w:pPr>
        <w:spacing w:after="4" w:line="249" w:lineRule="auto"/>
        <w:ind w:left="2123" w:right="8" w:hanging="1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Art. 15. Os cursos de </w:t>
      </w:r>
      <w:r>
        <w:rPr>
          <w:rFonts w:ascii="Times New Roman" w:eastAsia="Times New Roman" w:hAnsi="Times New Roman" w:cs="Times New Roman"/>
          <w:b/>
          <w:sz w:val="20"/>
        </w:rPr>
        <w:t>segunda licenciatura</w:t>
      </w:r>
      <w:r>
        <w:rPr>
          <w:rFonts w:ascii="Times New Roman" w:eastAsia="Times New Roman" w:hAnsi="Times New Roman" w:cs="Times New Roman"/>
          <w:sz w:val="20"/>
        </w:rPr>
        <w:t xml:space="preserve"> terão carga horária mínima variável de 800 (oitocentas) a 1.200 (mil e duzentas) horas, dependendo da equivalência entre a formação original e a nova licenciatura. </w:t>
      </w:r>
    </w:p>
    <w:p w:rsidR="00F57CE4" w:rsidRDefault="00131DDD">
      <w:pPr>
        <w:spacing w:after="302" w:line="249" w:lineRule="auto"/>
        <w:ind w:left="2123" w:right="8" w:hanging="10"/>
        <w:jc w:val="both"/>
      </w:pPr>
      <w:r>
        <w:rPr>
          <w:rFonts w:ascii="Times New Roman" w:eastAsia="Times New Roman" w:hAnsi="Times New Roman" w:cs="Times New Roman"/>
          <w:sz w:val="20"/>
        </w:rPr>
        <w:t>[...]</w:t>
      </w:r>
    </w:p>
    <w:p w:rsidR="00F57CE4" w:rsidRDefault="00131DDD">
      <w:pPr>
        <w:spacing w:after="230" w:line="249" w:lineRule="auto"/>
        <w:ind w:left="-15" w:right="2" w:firstLine="700"/>
        <w:jc w:val="both"/>
      </w:pPr>
      <w:r>
        <w:rPr>
          <w:rFonts w:ascii="Times New Roman" w:eastAsia="Times New Roman" w:hAnsi="Times New Roman" w:cs="Times New Roman"/>
          <w:sz w:val="24"/>
        </w:rPr>
        <w:t>Esta mesma resolução prevê no artigo 14 a formação pedagógica para graduados não licenciados, de caráter emergencial e provisório, como segue:</w:t>
      </w:r>
    </w:p>
    <w:p w:rsidR="00F57CE4" w:rsidRDefault="00131DDD">
      <w:pPr>
        <w:spacing w:after="4" w:line="249" w:lineRule="auto"/>
        <w:ind w:left="2123" w:right="8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Art. 14. Os cursos de </w:t>
      </w:r>
      <w:r>
        <w:rPr>
          <w:rFonts w:ascii="Times New Roman" w:eastAsia="Times New Roman" w:hAnsi="Times New Roman" w:cs="Times New Roman"/>
          <w:b/>
          <w:sz w:val="20"/>
        </w:rPr>
        <w:t>formação pedagógica</w:t>
      </w:r>
      <w:r>
        <w:rPr>
          <w:rFonts w:ascii="Times New Roman" w:eastAsia="Times New Roman" w:hAnsi="Times New Roman" w:cs="Times New Roman"/>
          <w:sz w:val="20"/>
        </w:rPr>
        <w:t xml:space="preserve"> para graduados não licenciados, </w:t>
      </w:r>
      <w:r>
        <w:rPr>
          <w:rFonts w:ascii="Times New Roman" w:eastAsia="Times New Roman" w:hAnsi="Times New Roman" w:cs="Times New Roman"/>
          <w:b/>
          <w:sz w:val="20"/>
        </w:rPr>
        <w:t>de caráter emergencial e provisório</w:t>
      </w:r>
      <w:r>
        <w:rPr>
          <w:rFonts w:ascii="Times New Roman" w:eastAsia="Times New Roman" w:hAnsi="Times New Roman" w:cs="Times New Roman"/>
          <w:sz w:val="20"/>
        </w:rPr>
        <w:t>, ofertados a portadores de diplomas de curso superior formados em cursos relacionados à habilitação pretendida com sólida base de conhecimentos na área estudada, devem ter carga horária mínima variável de 1.000 (mil) a 1.400 (mil e quatrocentas) horas de efetivo trabalho acadêmico, dependendo da equivalência entre o curso de origem e a formação pedagógica pretendida.</w:t>
      </w:r>
    </w:p>
    <w:p w:rsidR="00F57CE4" w:rsidRDefault="00131DDD">
      <w:pPr>
        <w:spacing w:after="4" w:line="249" w:lineRule="auto"/>
        <w:ind w:left="2123" w:right="8" w:hanging="10"/>
        <w:jc w:val="both"/>
      </w:pPr>
      <w:r>
        <w:rPr>
          <w:rFonts w:ascii="Times New Roman" w:eastAsia="Times New Roman" w:hAnsi="Times New Roman" w:cs="Times New Roman"/>
          <w:sz w:val="20"/>
        </w:rPr>
        <w:t>[...]</w:t>
      </w:r>
    </w:p>
    <w:p w:rsidR="00F57CE4" w:rsidRDefault="00131DDD">
      <w:pPr>
        <w:spacing w:after="267" w:line="249" w:lineRule="auto"/>
        <w:ind w:left="-15" w:right="2" w:firstLine="700"/>
        <w:jc w:val="both"/>
      </w:pPr>
      <w:r>
        <w:rPr>
          <w:rFonts w:ascii="Times New Roman" w:eastAsia="Times New Roman" w:hAnsi="Times New Roman" w:cs="Times New Roman"/>
          <w:sz w:val="24"/>
        </w:rPr>
        <w:t>Neste sentindo, para fins de atendimento à Resolução CNE/CEB n</w:t>
      </w:r>
      <w:r>
        <w:rPr>
          <w:rFonts w:ascii="Times New Roman" w:eastAsia="Times New Roman" w:hAnsi="Times New Roman" w:cs="Times New Roman"/>
          <w:u w:val="single" w:color="000000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6/2012, considerando a Resolução CNE/CP n</w:t>
      </w:r>
      <w:r>
        <w:rPr>
          <w:rFonts w:ascii="Times New Roman" w:eastAsia="Times New Roman" w:hAnsi="Times New Roman" w:cs="Times New Roman"/>
          <w:u w:val="single" w:color="000000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2/2015, o Instituto Federal </w:t>
      </w:r>
      <w:r w:rsidR="00EE5CC7">
        <w:rPr>
          <w:rFonts w:ascii="Times New Roman" w:eastAsia="Times New Roman" w:hAnsi="Times New Roman" w:cs="Times New Roman"/>
          <w:sz w:val="24"/>
        </w:rPr>
        <w:t>Sul-R</w:t>
      </w:r>
      <w:r w:rsidR="00212EA0">
        <w:rPr>
          <w:rFonts w:ascii="Times New Roman" w:eastAsia="Times New Roman" w:hAnsi="Times New Roman" w:cs="Times New Roman"/>
          <w:sz w:val="24"/>
        </w:rPr>
        <w:t>io-grandense</w:t>
      </w:r>
      <w:r>
        <w:rPr>
          <w:rFonts w:ascii="Times New Roman" w:eastAsia="Times New Roman" w:hAnsi="Times New Roman" w:cs="Times New Roman"/>
          <w:sz w:val="24"/>
        </w:rPr>
        <w:t xml:space="preserve"> informa as seguintes ações institucionais:</w:t>
      </w:r>
    </w:p>
    <w:p w:rsidR="00F57CE4" w:rsidRDefault="00131DDD">
      <w:pPr>
        <w:spacing w:after="0" w:line="249" w:lineRule="auto"/>
        <w:ind w:left="-5" w:right="242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1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ª  –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Pós-Gradu</w:t>
      </w:r>
      <w:r w:rsidR="00212EA0">
        <w:rPr>
          <w:rFonts w:ascii="Times New Roman" w:eastAsia="Times New Roman" w:hAnsi="Times New Roman" w:cs="Times New Roman"/>
          <w:b/>
          <w:i/>
          <w:sz w:val="24"/>
        </w:rPr>
        <w:t xml:space="preserve">ação lato sensu em Educação Profissional e Tecnológica </w:t>
      </w:r>
    </w:p>
    <w:p w:rsidR="00F57CE4" w:rsidRDefault="00131DDD">
      <w:pPr>
        <w:spacing w:after="0" w:line="249" w:lineRule="auto"/>
        <w:ind w:left="-15" w:right="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Oferta de Pós-Graduação </w:t>
      </w:r>
      <w:r>
        <w:rPr>
          <w:rFonts w:ascii="Times New Roman" w:eastAsia="Times New Roman" w:hAnsi="Times New Roman" w:cs="Times New Roman"/>
          <w:i/>
          <w:sz w:val="24"/>
        </w:rPr>
        <w:t>lato sensu</w:t>
      </w:r>
      <w:r>
        <w:rPr>
          <w:rFonts w:ascii="Times New Roman" w:eastAsia="Times New Roman" w:hAnsi="Times New Roman" w:cs="Times New Roman"/>
          <w:sz w:val="24"/>
        </w:rPr>
        <w:t xml:space="preserve"> em Educação Profissional e Tecnológica na modalidade </w:t>
      </w:r>
      <w:proofErr w:type="spellStart"/>
      <w:r>
        <w:rPr>
          <w:rFonts w:ascii="Times New Roman" w:eastAsia="Times New Roman" w:hAnsi="Times New Roman" w:cs="Times New Roman"/>
          <w:sz w:val="24"/>
        </w:rPr>
        <w:t>EaD</w:t>
      </w:r>
      <w:proofErr w:type="spellEnd"/>
      <w:r>
        <w:rPr>
          <w:rFonts w:ascii="Times New Roman" w:eastAsia="Times New Roman" w:hAnsi="Times New Roman" w:cs="Times New Roman"/>
          <w:sz w:val="24"/>
        </w:rPr>
        <w:t>, destinada aos docentes graduados não licenciados:</w:t>
      </w:r>
    </w:p>
    <w:p w:rsidR="00212EA0" w:rsidRDefault="00212EA0">
      <w:pPr>
        <w:spacing w:after="0" w:line="249" w:lineRule="auto"/>
        <w:ind w:left="-15" w:right="2"/>
        <w:jc w:val="both"/>
        <w:rPr>
          <w:rFonts w:ascii="Times New Roman" w:eastAsia="Times New Roman" w:hAnsi="Times New Roman" w:cs="Times New Roman"/>
          <w:sz w:val="24"/>
        </w:rPr>
      </w:pPr>
    </w:p>
    <w:p w:rsidR="00212EA0" w:rsidRDefault="00212EA0" w:rsidP="00212EA0">
      <w:pPr>
        <w:spacing w:after="0" w:line="249" w:lineRule="auto"/>
        <w:ind w:left="-15" w:right="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Projeto Pedagógico do Curso (PPC) será apreciado pela Câmara de Ensino nos dias 15 e 16 de abril de 2019 e pelo CODIR dia 16 de abril de 2019. Após apreciação será submetido ao CONSUP para aprovação do PPC. A Pró-reitoria de Ensino está fazendo um levantamento com os Diretores de </w:t>
      </w:r>
      <w:proofErr w:type="gramStart"/>
      <w:r>
        <w:rPr>
          <w:rFonts w:ascii="Times New Roman" w:eastAsia="Times New Roman" w:hAnsi="Times New Roman" w:cs="Times New Roman"/>
          <w:sz w:val="24"/>
        </w:rPr>
        <w:t>Ensino  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com os chefes de departamento de ensino, pesquisa e extensão para quantificar o número de docentes que atuam na educação profissional técnica  de nível médio técnico.</w:t>
      </w:r>
    </w:p>
    <w:p w:rsidR="00212EA0" w:rsidRDefault="00212EA0">
      <w:pPr>
        <w:spacing w:after="0" w:line="249" w:lineRule="auto"/>
        <w:ind w:left="-15" w:right="2"/>
        <w:jc w:val="both"/>
      </w:pPr>
      <w:bookmarkStart w:id="0" w:name="_GoBack"/>
      <w:bookmarkEnd w:id="0"/>
    </w:p>
    <w:p w:rsidR="00F57CE4" w:rsidRPr="006A70AC" w:rsidRDefault="00131DDD">
      <w:pPr>
        <w:numPr>
          <w:ilvl w:val="0"/>
          <w:numId w:val="2"/>
        </w:numPr>
        <w:spacing w:after="10" w:line="249" w:lineRule="auto"/>
        <w:ind w:right="2" w:hanging="1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 primeira turma contará com </w:t>
      </w:r>
      <w:r w:rsidR="00601E90">
        <w:rPr>
          <w:rFonts w:ascii="Times New Roman" w:eastAsia="Times New Roman" w:hAnsi="Times New Roman" w:cs="Times New Roman"/>
          <w:sz w:val="24"/>
        </w:rPr>
        <w:t>2</w:t>
      </w:r>
      <w:r w:rsidR="00FD16A6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 vag</w:t>
      </w:r>
      <w:r w:rsidR="006A70AC">
        <w:rPr>
          <w:rFonts w:ascii="Times New Roman" w:eastAsia="Times New Roman" w:hAnsi="Times New Roman" w:cs="Times New Roman"/>
          <w:sz w:val="24"/>
        </w:rPr>
        <w:t xml:space="preserve">as com a possibilidade de encerrar até </w:t>
      </w:r>
      <w:r>
        <w:rPr>
          <w:rFonts w:ascii="Times New Roman" w:eastAsia="Times New Roman" w:hAnsi="Times New Roman" w:cs="Times New Roman"/>
          <w:sz w:val="24"/>
        </w:rPr>
        <w:t>o ano de 2020;</w:t>
      </w:r>
    </w:p>
    <w:p w:rsidR="006A70AC" w:rsidRPr="00600744" w:rsidRDefault="006A70AC" w:rsidP="006A70AC">
      <w:pPr>
        <w:numPr>
          <w:ilvl w:val="0"/>
          <w:numId w:val="2"/>
        </w:numPr>
        <w:spacing w:before="120" w:after="0" w:line="276" w:lineRule="auto"/>
        <w:jc w:val="both"/>
      </w:pPr>
      <w:r w:rsidRPr="00600744">
        <w:t>55% para candidatos que possuam vínculo empregatício com a rede federal;</w:t>
      </w:r>
    </w:p>
    <w:p w:rsidR="006A70AC" w:rsidRPr="00600744" w:rsidRDefault="006A70AC" w:rsidP="006A70AC">
      <w:pPr>
        <w:numPr>
          <w:ilvl w:val="0"/>
          <w:numId w:val="2"/>
        </w:numPr>
        <w:spacing w:before="120" w:after="0" w:line="276" w:lineRule="auto"/>
        <w:jc w:val="both"/>
      </w:pPr>
      <w:r w:rsidRPr="00600744">
        <w:t>30% para candidatos que possuam vínculo empregatício com a rede estadual;</w:t>
      </w:r>
    </w:p>
    <w:p w:rsidR="006A70AC" w:rsidRPr="00600744" w:rsidRDefault="006A70AC" w:rsidP="006A70AC">
      <w:pPr>
        <w:numPr>
          <w:ilvl w:val="0"/>
          <w:numId w:val="2"/>
        </w:numPr>
        <w:spacing w:before="120" w:after="0" w:line="276" w:lineRule="auto"/>
        <w:jc w:val="both"/>
      </w:pPr>
      <w:r w:rsidRPr="00600744">
        <w:t>10% para candidatos que possuam vínculo empregatício com a rede municipal;</w:t>
      </w:r>
    </w:p>
    <w:p w:rsidR="006A70AC" w:rsidRDefault="006A70AC" w:rsidP="006A70AC">
      <w:pPr>
        <w:numPr>
          <w:ilvl w:val="0"/>
          <w:numId w:val="2"/>
        </w:numPr>
        <w:spacing w:before="120" w:after="0" w:line="276" w:lineRule="auto"/>
        <w:jc w:val="both"/>
        <w:rPr>
          <w:highlight w:val="white"/>
        </w:rPr>
      </w:pPr>
      <w:r w:rsidRPr="00600744">
        <w:rPr>
          <w:highlight w:val="white"/>
        </w:rPr>
        <w:t>5% para candidatos que possuam vínculo empregatício com a rede privada.</w:t>
      </w:r>
    </w:p>
    <w:p w:rsidR="00601E90" w:rsidRDefault="00601E90" w:rsidP="00601E90">
      <w:pPr>
        <w:spacing w:before="120" w:after="0" w:line="276" w:lineRule="auto"/>
        <w:jc w:val="both"/>
        <w:rPr>
          <w:highlight w:val="white"/>
        </w:rPr>
      </w:pPr>
      <w:r>
        <w:rPr>
          <w:noProof/>
        </w:rPr>
        <w:drawing>
          <wp:inline distT="0" distB="0" distL="0" distR="0" wp14:anchorId="2413329D" wp14:editId="28195AF3">
            <wp:extent cx="6121400" cy="16198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0AC" w:rsidRPr="00600744" w:rsidRDefault="006A70AC" w:rsidP="006A70AC">
      <w:pPr>
        <w:spacing w:before="120" w:after="0" w:line="276" w:lineRule="auto"/>
        <w:ind w:left="180"/>
        <w:jc w:val="both"/>
        <w:rPr>
          <w:highlight w:val="white"/>
        </w:rPr>
      </w:pPr>
    </w:p>
    <w:p w:rsidR="006A70AC" w:rsidRPr="00600744" w:rsidRDefault="006A70AC" w:rsidP="006A70AC">
      <w:pPr>
        <w:spacing w:line="276" w:lineRule="auto"/>
      </w:pPr>
      <w:r w:rsidRPr="00600744">
        <w:t>Caso o quantitativo de candidatos aprovados em um segmento não preencha o número de vagas disponibilizadas para esta parcela, as vagas remanescentes serão incorporadas a outro segmento, até se atingir o preenchimento completo das turmas.</w:t>
      </w:r>
    </w:p>
    <w:p w:rsidR="006A70AC" w:rsidRDefault="006A70AC" w:rsidP="006A70AC">
      <w:pPr>
        <w:spacing w:after="10" w:line="249" w:lineRule="auto"/>
        <w:ind w:right="2"/>
        <w:jc w:val="both"/>
        <w:rPr>
          <w:rFonts w:ascii="Times New Roman" w:eastAsia="Times New Roman" w:hAnsi="Times New Roman" w:cs="Times New Roman"/>
          <w:sz w:val="24"/>
        </w:rPr>
      </w:pPr>
    </w:p>
    <w:p w:rsidR="006A70AC" w:rsidRDefault="006A70AC" w:rsidP="006A70AC">
      <w:pPr>
        <w:spacing w:after="10" w:line="249" w:lineRule="auto"/>
        <w:ind w:right="2"/>
        <w:jc w:val="both"/>
        <w:rPr>
          <w:rFonts w:ascii="Times New Roman" w:eastAsia="Times New Roman" w:hAnsi="Times New Roman" w:cs="Times New Roman"/>
          <w:sz w:val="24"/>
        </w:rPr>
      </w:pPr>
    </w:p>
    <w:p w:rsidR="006A70AC" w:rsidRDefault="006A70AC" w:rsidP="006A70AC">
      <w:pPr>
        <w:spacing w:after="10" w:line="249" w:lineRule="auto"/>
        <w:ind w:right="2"/>
        <w:jc w:val="both"/>
        <w:rPr>
          <w:rFonts w:ascii="Times New Roman" w:eastAsia="Times New Roman" w:hAnsi="Times New Roman" w:cs="Times New Roman"/>
          <w:sz w:val="24"/>
        </w:rPr>
      </w:pPr>
    </w:p>
    <w:p w:rsidR="006A70AC" w:rsidRDefault="006A70AC" w:rsidP="006A70AC">
      <w:pPr>
        <w:spacing w:after="10" w:line="249" w:lineRule="auto"/>
        <w:ind w:right="2"/>
        <w:jc w:val="both"/>
        <w:rPr>
          <w:rFonts w:ascii="Times New Roman" w:eastAsia="Times New Roman" w:hAnsi="Times New Roman" w:cs="Times New Roman"/>
          <w:sz w:val="24"/>
        </w:rPr>
      </w:pPr>
    </w:p>
    <w:p w:rsidR="006A70AC" w:rsidRDefault="006A70AC" w:rsidP="006A70AC">
      <w:pPr>
        <w:spacing w:after="10" w:line="249" w:lineRule="auto"/>
        <w:ind w:right="2"/>
        <w:jc w:val="both"/>
      </w:pPr>
    </w:p>
    <w:p w:rsidR="00F57CE4" w:rsidRDefault="00131DDD">
      <w:pPr>
        <w:numPr>
          <w:ilvl w:val="0"/>
          <w:numId w:val="2"/>
        </w:numPr>
        <w:spacing w:after="10" w:line="249" w:lineRule="auto"/>
        <w:ind w:right="2" w:hanging="1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As inscrições iniciarão </w:t>
      </w:r>
      <w:r w:rsidR="00FD16A6">
        <w:rPr>
          <w:rFonts w:ascii="Times New Roman" w:eastAsia="Times New Roman" w:hAnsi="Times New Roman" w:cs="Times New Roman"/>
          <w:sz w:val="24"/>
        </w:rPr>
        <w:t>em meados de julho de 2019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F57CE4" w:rsidRPr="006A70AC" w:rsidRDefault="00131DDD">
      <w:pPr>
        <w:numPr>
          <w:ilvl w:val="0"/>
          <w:numId w:val="2"/>
        </w:numPr>
        <w:spacing w:after="267" w:line="249" w:lineRule="auto"/>
        <w:ind w:right="2" w:hanging="180"/>
        <w:jc w:val="both"/>
      </w:pPr>
      <w:r>
        <w:rPr>
          <w:rFonts w:ascii="Times New Roman" w:eastAsia="Times New Roman" w:hAnsi="Times New Roman" w:cs="Times New Roman"/>
          <w:sz w:val="24"/>
        </w:rPr>
        <w:t>Os critérios para participação e a classificação es</w:t>
      </w:r>
      <w:r w:rsidR="00FD16A6">
        <w:rPr>
          <w:rFonts w:ascii="Times New Roman" w:eastAsia="Times New Roman" w:hAnsi="Times New Roman" w:cs="Times New Roman"/>
          <w:sz w:val="24"/>
        </w:rPr>
        <w:t>tarão descritos no Edital nº 0xx/2019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A70AC" w:rsidRDefault="006A70AC" w:rsidP="006A70AC">
      <w:pPr>
        <w:spacing w:after="267" w:line="249" w:lineRule="auto"/>
        <w:ind w:right="2"/>
        <w:jc w:val="both"/>
      </w:pPr>
    </w:p>
    <w:p w:rsidR="00F57CE4" w:rsidRDefault="00131DDD">
      <w:pPr>
        <w:spacing w:after="0" w:line="249" w:lineRule="auto"/>
        <w:ind w:left="-5" w:right="242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2ª – Validação, quanto ao atendimento da legislação vigente, de curso realizado pelo docente: </w:t>
      </w:r>
      <w:r>
        <w:rPr>
          <w:rFonts w:ascii="Times New Roman" w:eastAsia="Times New Roman" w:hAnsi="Times New Roman" w:cs="Times New Roman"/>
          <w:b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 xml:space="preserve"> Pós-graduação </w:t>
      </w:r>
      <w:r>
        <w:rPr>
          <w:rFonts w:ascii="Times New Roman" w:eastAsia="Times New Roman" w:hAnsi="Times New Roman" w:cs="Times New Roman"/>
          <w:i/>
          <w:sz w:val="24"/>
        </w:rPr>
        <w:t>lato sensu</w:t>
      </w:r>
      <w:r>
        <w:rPr>
          <w:rFonts w:ascii="Times New Roman" w:eastAsia="Times New Roman" w:hAnsi="Times New Roman" w:cs="Times New Roman"/>
          <w:sz w:val="24"/>
        </w:rPr>
        <w:t>, nos termos da Res. 6/2012, item I, § 2º, Art. 40;</w:t>
      </w:r>
    </w:p>
    <w:p w:rsidR="00F57CE4" w:rsidRDefault="00131DDD">
      <w:pPr>
        <w:numPr>
          <w:ilvl w:val="0"/>
          <w:numId w:val="3"/>
        </w:numPr>
        <w:spacing w:after="10" w:line="249" w:lineRule="auto"/>
        <w:ind w:right="2" w:hanging="274"/>
        <w:jc w:val="both"/>
      </w:pPr>
      <w:r>
        <w:rPr>
          <w:rFonts w:ascii="Times New Roman" w:eastAsia="Times New Roman" w:hAnsi="Times New Roman" w:cs="Times New Roman"/>
          <w:sz w:val="24"/>
        </w:rPr>
        <w:t>Segunda Licenciatura nos termos da Res. 6/2012, item III, § 2º, Art. 40 e da Res. 2/2015, Art. 15;</w:t>
      </w:r>
    </w:p>
    <w:p w:rsidR="00F57CE4" w:rsidRDefault="00131DDD">
      <w:pPr>
        <w:numPr>
          <w:ilvl w:val="0"/>
          <w:numId w:val="3"/>
        </w:numPr>
        <w:spacing w:after="267" w:line="249" w:lineRule="auto"/>
        <w:ind w:right="2" w:hanging="274"/>
        <w:jc w:val="both"/>
      </w:pPr>
      <w:r>
        <w:rPr>
          <w:rFonts w:ascii="Times New Roman" w:eastAsia="Times New Roman" w:hAnsi="Times New Roman" w:cs="Times New Roman"/>
          <w:sz w:val="24"/>
        </w:rPr>
        <w:t>Formação Pedagógica para graduados não licenciados nos termos da Res. 2/2015, Art. 14.</w:t>
      </w:r>
    </w:p>
    <w:p w:rsidR="00FD16A6" w:rsidRDefault="00131DDD">
      <w:pPr>
        <w:spacing w:after="267" w:line="249" w:lineRule="auto"/>
        <w:ind w:left="-15" w:right="2"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Para esta segunda ação, o servidor docente deverá preencher o formulário constante no Manual do servidor e anexar o Certificado/Diploma e Histórico Escolar do respectivo curso (segunda licenciatura, formação pedagógica ou pós-graduação</w:t>
      </w:r>
      <w:r>
        <w:rPr>
          <w:rFonts w:ascii="Times New Roman" w:eastAsia="Times New Roman" w:hAnsi="Times New Roman" w:cs="Times New Roman"/>
          <w:i/>
          <w:sz w:val="24"/>
        </w:rPr>
        <w:t xml:space="preserve"> lato sensu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  <w:hyperlink r:id="rId6">
        <w:proofErr w:type="spellStart"/>
        <w:r>
          <w:rPr>
            <w:rFonts w:ascii="Georgia" w:eastAsia="Georgia" w:hAnsi="Georgia" w:cs="Georgia"/>
            <w:color w:val="1155CC"/>
            <w:sz w:val="18"/>
            <w:u w:val="single" w:color="1155CC"/>
          </w:rPr>
          <w:t>xxxxxxxxxxxxxxxxxxxxxxxxxxxxxxxxxxxxxx</w:t>
        </w:r>
        <w:proofErr w:type="spellEnd"/>
      </w:hyperlink>
      <w:hyperlink r:id="rId7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F57CE4" w:rsidRDefault="00131DDD">
      <w:pPr>
        <w:spacing w:after="267" w:line="249" w:lineRule="auto"/>
        <w:ind w:left="-15" w:right="2" w:firstLine="700"/>
        <w:jc w:val="both"/>
      </w:pPr>
      <w:r>
        <w:rPr>
          <w:rFonts w:ascii="Times New Roman" w:eastAsia="Times New Roman" w:hAnsi="Times New Roman" w:cs="Times New Roman"/>
          <w:sz w:val="24"/>
        </w:rPr>
        <w:t>Os documentos serão analisados por comissão constituída para este fim, e será composta por um representante da PROGEP, dois representantes da PROPESP, dois representantes da PROEN e dois representantes da CPPD Institucional.</w:t>
      </w:r>
      <w:r>
        <w:rPr>
          <w:rFonts w:ascii="Times New Roman" w:eastAsia="Times New Roman" w:hAnsi="Times New Roman" w:cs="Times New Roman"/>
          <w:color w:val="FF33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 pedido estará disponível para encaminhamento dos processos no período de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XXXXXXXXXXXXXX.</w:t>
      </w:r>
      <w:r>
        <w:rPr>
          <w:rFonts w:ascii="Times New Roman" w:eastAsia="Times New Roman" w:hAnsi="Times New Roman" w:cs="Times New Roman"/>
          <w:sz w:val="24"/>
        </w:rPr>
        <w:t xml:space="preserve"> Novos períodos para validação serão abertos posteriormente.</w:t>
      </w:r>
    </w:p>
    <w:p w:rsidR="00F57CE4" w:rsidRDefault="00131DDD">
      <w:pPr>
        <w:spacing w:after="0" w:line="249" w:lineRule="auto"/>
        <w:ind w:left="-15" w:right="2" w:firstLine="7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Com relação ao reconhecimento total ou parcial dos saberes profissionais de docentes, com mais de 10 (dez) anos de efetivo exercício como professores da Educação Profissional, ratificamos que o mesmo deve se dar no âmbito da Rede </w:t>
      </w:r>
      <w:proofErr w:type="spellStart"/>
      <w:r>
        <w:rPr>
          <w:rFonts w:ascii="Times New Roman" w:eastAsia="Times New Roman" w:hAnsi="Times New Roman" w:cs="Times New Roman"/>
          <w:sz w:val="24"/>
        </w:rPr>
        <w:t>Certific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57CE4" w:rsidRDefault="00131DDD">
      <w:pPr>
        <w:spacing w:after="267" w:line="249" w:lineRule="auto"/>
        <w:ind w:left="-15" w:right="2" w:firstLine="7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Para efetivar a oferta de certificações por meio da Rede </w:t>
      </w:r>
      <w:proofErr w:type="spellStart"/>
      <w:r>
        <w:rPr>
          <w:rFonts w:ascii="Times New Roman" w:eastAsia="Times New Roman" w:hAnsi="Times New Roman" w:cs="Times New Roman"/>
          <w:sz w:val="24"/>
        </w:rPr>
        <w:t>Certific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é necessário considerar o Documento Orientador de Reestruturação da Rede CERTIFIC (</w:t>
      </w:r>
      <w:hyperlink r:id="rId8">
        <w:r>
          <w:rPr>
            <w:rFonts w:ascii="Times New Roman" w:eastAsia="Times New Roman" w:hAnsi="Times New Roman" w:cs="Times New Roman"/>
            <w:color w:val="000080"/>
            <w:sz w:val="24"/>
            <w:u w:val="single" w:color="000080"/>
          </w:rPr>
          <w:t xml:space="preserve">http://portal.mec.gov.br/index.php? </w:t>
        </w:r>
      </w:hyperlink>
      <w:hyperlink r:id="rId9">
        <w:r>
          <w:rPr>
            <w:rFonts w:ascii="Times New Roman" w:eastAsia="Times New Roman" w:hAnsi="Times New Roman" w:cs="Times New Roman"/>
            <w:color w:val="000080"/>
            <w:sz w:val="24"/>
            <w:u w:val="single" w:color="000080"/>
          </w:rPr>
          <w:t>option=com_docman&amp;view=download&amp;alias=27401-setec-rede-certific-documento-orientador</w:t>
        </w:r>
      </w:hyperlink>
      <w:hyperlink r:id="rId10">
        <w:r>
          <w:rPr>
            <w:rFonts w:ascii="Times New Roman" w:eastAsia="Times New Roman" w:hAnsi="Times New Roman" w:cs="Times New Roman"/>
            <w:color w:val="000080"/>
            <w:sz w:val="24"/>
            <w:u w:val="single" w:color="000080"/>
          </w:rPr>
          <w:t>pdf&amp;category_slug=novembro-2015-pdf&amp;Itemid=30192</w:t>
        </w:r>
      </w:hyperlink>
      <w:hyperlink r:id="rId11">
        <w:r>
          <w:rPr>
            <w:rFonts w:ascii="Times New Roman" w:eastAsia="Times New Roman" w:hAnsi="Times New Roman" w:cs="Times New Roman"/>
            <w:sz w:val="24"/>
          </w:rPr>
          <w:t>)</w:t>
        </w:r>
      </w:hyperlink>
      <w:r>
        <w:rPr>
          <w:rFonts w:ascii="Times New Roman" w:eastAsia="Times New Roman" w:hAnsi="Times New Roman" w:cs="Times New Roman"/>
          <w:sz w:val="24"/>
        </w:rPr>
        <w:t>, e atender os requisitos citados abaixo:</w:t>
      </w:r>
    </w:p>
    <w:p w:rsidR="00F57CE4" w:rsidRDefault="00131DDD">
      <w:pPr>
        <w:numPr>
          <w:ilvl w:val="1"/>
          <w:numId w:val="3"/>
        </w:numPr>
        <w:spacing w:after="226" w:line="249" w:lineRule="auto"/>
        <w:ind w:right="2" w:hanging="360"/>
        <w:jc w:val="both"/>
      </w:pPr>
      <w:r>
        <w:rPr>
          <w:rFonts w:ascii="Times New Roman" w:eastAsia="Times New Roman" w:hAnsi="Times New Roman" w:cs="Times New Roman"/>
          <w:sz w:val="24"/>
        </w:rPr>
        <w:t>Portaria Interministerial MEC/MTE nº 5, de 25 de abril de 2014, que dispõe sobre a reorganização da Rede Nacional de Certificação Profissional – CERTIFIC:</w:t>
      </w:r>
    </w:p>
    <w:p w:rsidR="00F57CE4" w:rsidRDefault="00131DDD">
      <w:pPr>
        <w:spacing w:after="4" w:line="249" w:lineRule="auto"/>
        <w:ind w:left="2278" w:right="8" w:hanging="10"/>
        <w:jc w:val="both"/>
      </w:pPr>
      <w:r>
        <w:rPr>
          <w:rFonts w:ascii="Times New Roman" w:eastAsia="Times New Roman" w:hAnsi="Times New Roman" w:cs="Times New Roman"/>
          <w:sz w:val="20"/>
        </w:rPr>
        <w:t>Art. 21. - São requisitos obrigatórios da unidade certificadora credenciada junto à Rede CERTIFIC para oferta de cada perfil de certificação profissional:</w:t>
      </w:r>
    </w:p>
    <w:p w:rsidR="00F57CE4" w:rsidRDefault="00131DDD">
      <w:pPr>
        <w:numPr>
          <w:ilvl w:val="2"/>
          <w:numId w:val="3"/>
        </w:numPr>
        <w:spacing w:after="4" w:line="249" w:lineRule="auto"/>
        <w:ind w:right="8" w:hanging="18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0"/>
        </w:rPr>
        <w:t>aprovar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o projeto pedagógico de certificação profissional do perfil a ser certificado;</w:t>
      </w:r>
    </w:p>
    <w:p w:rsidR="00F57CE4" w:rsidRDefault="00131DDD">
      <w:pPr>
        <w:numPr>
          <w:ilvl w:val="2"/>
          <w:numId w:val="3"/>
        </w:numPr>
        <w:spacing w:after="0"/>
        <w:ind w:right="8" w:hanging="18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0"/>
        </w:rPr>
        <w:t>aprovar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a autorização para oferta do perfil a ser certificado; e</w:t>
      </w:r>
    </w:p>
    <w:p w:rsidR="00F57CE4" w:rsidRDefault="00131DDD">
      <w:pPr>
        <w:numPr>
          <w:ilvl w:val="2"/>
          <w:numId w:val="3"/>
        </w:numPr>
        <w:spacing w:after="4" w:line="249" w:lineRule="auto"/>
        <w:ind w:right="8" w:hanging="18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0"/>
        </w:rPr>
        <w:t>submeter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, por meio do Sistema Nacional de Informações da Educação Profissional </w:t>
      </w:r>
      <w:proofErr w:type="spellStart"/>
      <w:r>
        <w:rPr>
          <w:rFonts w:ascii="Times New Roman" w:eastAsia="Times New Roman" w:hAnsi="Times New Roman" w:cs="Times New Roman"/>
          <w:sz w:val="20"/>
        </w:rPr>
        <w:t>eTecnológica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- SISTEC, o termo de autorização para oferta e o projeto pedagógico de certificação profissional.</w:t>
      </w:r>
    </w:p>
    <w:p w:rsidR="00F57CE4" w:rsidRDefault="00131DDD">
      <w:pPr>
        <w:spacing w:after="4" w:line="249" w:lineRule="auto"/>
        <w:ind w:left="2222" w:right="8" w:hanging="10"/>
        <w:jc w:val="both"/>
      </w:pPr>
      <w:r>
        <w:rPr>
          <w:rFonts w:ascii="Times New Roman" w:eastAsia="Times New Roman" w:hAnsi="Times New Roman" w:cs="Times New Roman"/>
          <w:sz w:val="20"/>
        </w:rPr>
        <w:t>Art. 22. São requisitos para a aprovação de projeto pedagógico de certificação profissional, para cada perfil a ser certificado:</w:t>
      </w:r>
    </w:p>
    <w:p w:rsidR="00F57CE4" w:rsidRDefault="00131DDD">
      <w:pPr>
        <w:spacing w:after="4" w:line="249" w:lineRule="auto"/>
        <w:ind w:left="2222" w:right="8" w:hanging="10"/>
        <w:jc w:val="both"/>
      </w:pPr>
      <w:r>
        <w:rPr>
          <w:rFonts w:ascii="Times New Roman" w:eastAsia="Times New Roman" w:hAnsi="Times New Roman" w:cs="Times New Roman"/>
          <w:sz w:val="20"/>
        </w:rPr>
        <w:t>[...]</w:t>
      </w:r>
    </w:p>
    <w:p w:rsidR="00F57CE4" w:rsidRDefault="00131DDD">
      <w:pPr>
        <w:numPr>
          <w:ilvl w:val="2"/>
          <w:numId w:val="3"/>
        </w:numPr>
        <w:spacing w:after="4" w:line="249" w:lineRule="auto"/>
        <w:ind w:right="8" w:hanging="18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0"/>
        </w:rPr>
        <w:t>reconhecimento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pelo MEC de curso de licenciatura, com conceito igual ou superior </w:t>
      </w:r>
      <w:proofErr w:type="spellStart"/>
      <w:r>
        <w:rPr>
          <w:rFonts w:ascii="Times New Roman" w:eastAsia="Times New Roman" w:hAnsi="Times New Roman" w:cs="Times New Roman"/>
          <w:sz w:val="20"/>
        </w:rPr>
        <w:t>atrês</w:t>
      </w:r>
      <w:proofErr w:type="spellEnd"/>
      <w:r>
        <w:rPr>
          <w:rFonts w:ascii="Times New Roman" w:eastAsia="Times New Roman" w:hAnsi="Times New Roman" w:cs="Times New Roman"/>
          <w:sz w:val="20"/>
        </w:rPr>
        <w:t>, ou oferta regular, nos últimos três anos, de curso ou programa de pós-graduação na área de formação pedagógica ou de educação profissional, para certificação docente da educação profissional;</w:t>
      </w:r>
    </w:p>
    <w:p w:rsidR="00F57CE4" w:rsidRDefault="00131DDD">
      <w:pPr>
        <w:numPr>
          <w:ilvl w:val="2"/>
          <w:numId w:val="3"/>
        </w:numPr>
        <w:spacing w:after="4" w:line="249" w:lineRule="auto"/>
        <w:ind w:right="8" w:hanging="18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0"/>
        </w:rPr>
        <w:t>disponibilidade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de infraestrutura física e tecnológica, de acordo com os </w:t>
      </w:r>
      <w:proofErr w:type="spellStart"/>
      <w:r>
        <w:rPr>
          <w:rFonts w:ascii="Times New Roman" w:eastAsia="Times New Roman" w:hAnsi="Times New Roman" w:cs="Times New Roman"/>
          <w:sz w:val="20"/>
        </w:rPr>
        <w:t>requisitosmínimos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constantes nos catálogos nacionais de cursos de educação profissional e </w:t>
      </w:r>
      <w:r>
        <w:rPr>
          <w:rFonts w:ascii="Times New Roman" w:eastAsia="Times New Roman" w:hAnsi="Times New Roman" w:cs="Times New Roman"/>
          <w:sz w:val="20"/>
        </w:rPr>
        <w:lastRenderedPageBreak/>
        <w:t xml:space="preserve">tecnológica, ou equivalente, ou nas diretrizes curriculares para a formação de professores da educação profissional, conforme a modalidade de certificação profissional; </w:t>
      </w:r>
    </w:p>
    <w:p w:rsidR="00F57CE4" w:rsidRDefault="00131DDD">
      <w:pPr>
        <w:spacing w:after="4" w:line="249" w:lineRule="auto"/>
        <w:ind w:left="2222" w:right="8" w:hanging="10"/>
        <w:jc w:val="both"/>
      </w:pPr>
      <w:r>
        <w:rPr>
          <w:rFonts w:ascii="Times New Roman" w:eastAsia="Times New Roman" w:hAnsi="Times New Roman" w:cs="Times New Roman"/>
          <w:sz w:val="20"/>
        </w:rPr>
        <w:t>[…]</w:t>
      </w:r>
    </w:p>
    <w:p w:rsidR="00F57CE4" w:rsidRDefault="00131DDD">
      <w:pPr>
        <w:numPr>
          <w:ilvl w:val="1"/>
          <w:numId w:val="3"/>
        </w:numPr>
        <w:spacing w:after="0" w:line="249" w:lineRule="auto"/>
        <w:ind w:right="2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Portaria SETEC/MEC n° 8, de 02 de maio de 2014, que regulamenta o desenvolvimento de processos de certificação profissional no âmbito da Rede Nacional de Certificação Profissional – Rede </w:t>
      </w:r>
      <w:proofErr w:type="spellStart"/>
      <w:r>
        <w:rPr>
          <w:rFonts w:ascii="Times New Roman" w:eastAsia="Times New Roman" w:hAnsi="Times New Roman" w:cs="Times New Roman"/>
          <w:sz w:val="24"/>
        </w:rPr>
        <w:t>Certific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F57CE4" w:rsidRDefault="00131DDD">
      <w:pPr>
        <w:spacing w:after="4" w:line="249" w:lineRule="auto"/>
        <w:ind w:left="2123" w:right="8" w:hanging="10"/>
        <w:jc w:val="both"/>
      </w:pPr>
      <w:r>
        <w:rPr>
          <w:rFonts w:ascii="Times New Roman" w:eastAsia="Times New Roman" w:hAnsi="Times New Roman" w:cs="Times New Roman"/>
          <w:sz w:val="20"/>
        </w:rPr>
        <w:t>Art. 4º – Constituem etapas preparatórias para a oferta de processo de certificação profissional em cada unidade de ensino certificadora:</w:t>
      </w:r>
    </w:p>
    <w:p w:rsidR="00F57CE4" w:rsidRDefault="00131DDD">
      <w:pPr>
        <w:spacing w:after="4" w:line="249" w:lineRule="auto"/>
        <w:ind w:left="2123" w:right="8" w:hanging="10"/>
        <w:jc w:val="both"/>
      </w:pPr>
      <w:r>
        <w:rPr>
          <w:rFonts w:ascii="Times New Roman" w:eastAsia="Times New Roman" w:hAnsi="Times New Roman" w:cs="Times New Roman"/>
          <w:sz w:val="20"/>
        </w:rPr>
        <w:t>[…]</w:t>
      </w:r>
    </w:p>
    <w:p w:rsidR="00F57CE4" w:rsidRDefault="00131DDD">
      <w:pPr>
        <w:numPr>
          <w:ilvl w:val="2"/>
          <w:numId w:val="4"/>
        </w:numPr>
        <w:spacing w:after="4" w:line="249" w:lineRule="auto"/>
        <w:ind w:right="8" w:hanging="218"/>
        <w:jc w:val="both"/>
      </w:pPr>
      <w:r>
        <w:rPr>
          <w:rFonts w:ascii="Times New Roman" w:eastAsia="Times New Roman" w:hAnsi="Times New Roman" w:cs="Times New Roman"/>
          <w:sz w:val="20"/>
        </w:rPr>
        <w:t>Elaboração e aprovação de regulamentação interna de certificação profissional;</w:t>
      </w:r>
    </w:p>
    <w:p w:rsidR="00F57CE4" w:rsidRDefault="00131DDD">
      <w:pPr>
        <w:numPr>
          <w:ilvl w:val="2"/>
          <w:numId w:val="4"/>
        </w:numPr>
        <w:spacing w:after="4" w:line="249" w:lineRule="auto"/>
        <w:ind w:right="8" w:hanging="218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o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credenciamento junto à Rede </w:t>
      </w:r>
      <w:proofErr w:type="spellStart"/>
      <w:r>
        <w:rPr>
          <w:rFonts w:ascii="Times New Roman" w:eastAsia="Times New Roman" w:hAnsi="Times New Roman" w:cs="Times New Roman"/>
          <w:sz w:val="20"/>
        </w:rPr>
        <w:t>Certific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F57CE4" w:rsidRDefault="00131DDD">
      <w:pPr>
        <w:numPr>
          <w:ilvl w:val="2"/>
          <w:numId w:val="4"/>
        </w:numPr>
        <w:spacing w:after="4" w:line="249" w:lineRule="auto"/>
        <w:ind w:right="8" w:hanging="218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elaboração e aprovação do projeto pedagógico de certificação profissional e autorização para oferta;</w:t>
      </w:r>
    </w:p>
    <w:p w:rsidR="00F57CE4" w:rsidRDefault="00131DDD">
      <w:pPr>
        <w:numPr>
          <w:ilvl w:val="2"/>
          <w:numId w:val="4"/>
        </w:numPr>
        <w:spacing w:after="4" w:line="249" w:lineRule="auto"/>
        <w:ind w:right="8" w:hanging="218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formação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da equipe multiprofissional avaliadora;</w:t>
      </w:r>
    </w:p>
    <w:p w:rsidR="00F57CE4" w:rsidRDefault="00131DDD">
      <w:pPr>
        <w:spacing w:after="302" w:line="249" w:lineRule="auto"/>
        <w:ind w:left="2123" w:right="8" w:hanging="10"/>
        <w:jc w:val="both"/>
      </w:pPr>
      <w:r>
        <w:rPr>
          <w:rFonts w:ascii="Times New Roman" w:eastAsia="Times New Roman" w:hAnsi="Times New Roman" w:cs="Times New Roman"/>
          <w:sz w:val="20"/>
        </w:rPr>
        <w:t>[...]</w:t>
      </w:r>
    </w:p>
    <w:p w:rsidR="00F57CE4" w:rsidRDefault="00131DDD">
      <w:pPr>
        <w:spacing w:after="267" w:line="249" w:lineRule="auto"/>
        <w:ind w:left="-15" w:right="2" w:firstLine="7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 IFSUL AINDA não encaminhou proposta de regulamentação interna da certificação profissional. Tratativas para verificar os trâmites para adesão à Rede </w:t>
      </w:r>
      <w:proofErr w:type="spellStart"/>
      <w:r>
        <w:rPr>
          <w:rFonts w:ascii="Times New Roman" w:eastAsia="Times New Roman" w:hAnsi="Times New Roman" w:cs="Times New Roman"/>
          <w:sz w:val="24"/>
        </w:rPr>
        <w:t>Certific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estão em andamento por outros </w:t>
      </w:r>
      <w:proofErr w:type="spellStart"/>
      <w:r>
        <w:rPr>
          <w:rFonts w:ascii="Times New Roman" w:eastAsia="Times New Roman" w:hAnsi="Times New Roman" w:cs="Times New Roman"/>
          <w:sz w:val="24"/>
        </w:rPr>
        <w:t>IFs</w:t>
      </w:r>
      <w:proofErr w:type="spellEnd"/>
      <w:r>
        <w:rPr>
          <w:rFonts w:ascii="Times New Roman" w:eastAsia="Times New Roman" w:hAnsi="Times New Roman" w:cs="Times New Roman"/>
          <w:sz w:val="24"/>
        </w:rPr>
        <w:t>, no entanto ainda sem retorno da SETEC/MEC.</w:t>
      </w:r>
    </w:p>
    <w:p w:rsidR="00F57CE4" w:rsidRDefault="00131DDD">
      <w:pPr>
        <w:spacing w:after="267" w:line="249" w:lineRule="auto"/>
        <w:ind w:left="-15" w:right="2" w:firstLine="700"/>
        <w:jc w:val="both"/>
      </w:pPr>
      <w:r>
        <w:rPr>
          <w:rFonts w:ascii="Times New Roman" w:eastAsia="Times New Roman" w:hAnsi="Times New Roman" w:cs="Times New Roman"/>
          <w:sz w:val="24"/>
        </w:rPr>
        <w:t>Ressaltamos, ainda que o processo de reconhecimento de saberes é complexo passando por diversas etapas – acolhimento/avaliação/encaminhamento/certificação –, que devem estar previstas no Projeto Pedagógico de Certificação, vinculado, por sua vez, ao curso de Licenciatura em Educação Profissional para o encaminhamento daqueles que tiverem saberes não reconhecidos na etapa de avaliação.</w:t>
      </w:r>
    </w:p>
    <w:p w:rsidR="00F57CE4" w:rsidRDefault="00131DDD">
      <w:pPr>
        <w:spacing w:after="0"/>
        <w:ind w:right="23"/>
        <w:jc w:val="right"/>
      </w:pPr>
      <w:r>
        <w:rPr>
          <w:rFonts w:ascii="Times New Roman" w:eastAsia="Times New Roman" w:hAnsi="Times New Roman" w:cs="Times New Roman"/>
          <w:sz w:val="24"/>
        </w:rPr>
        <w:t>Neste sentido, a oferta do inciso II, § 2º, Art. 40 depende ainda de credenciamento na Rede</w:t>
      </w:r>
    </w:p>
    <w:p w:rsidR="00F57CE4" w:rsidRPr="00795BB1" w:rsidRDefault="00131DDD">
      <w:pPr>
        <w:spacing w:after="276" w:line="238" w:lineRule="auto"/>
        <w:rPr>
          <w:color w:val="FF0000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Certific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795BB1">
        <w:rPr>
          <w:rFonts w:ascii="Times New Roman" w:eastAsia="Times New Roman" w:hAnsi="Times New Roman" w:cs="Times New Roman"/>
          <w:color w:val="FF0000"/>
          <w:sz w:val="24"/>
        </w:rPr>
        <w:t>aprovação da oferta e do Projeto Pedagógico do Curso de Licenciatura em Educação Profissional e da aprovação do Projeto Pedagógico de Certificação – Licenciado em Educação Profissional.</w:t>
      </w:r>
    </w:p>
    <w:p w:rsidR="00F57CE4" w:rsidRDefault="00131DDD">
      <w:pPr>
        <w:spacing w:after="818" w:line="249" w:lineRule="auto"/>
        <w:ind w:left="-15" w:right="2" w:firstLine="700"/>
        <w:jc w:val="both"/>
      </w:pPr>
      <w:r>
        <w:rPr>
          <w:rFonts w:ascii="Times New Roman" w:eastAsia="Times New Roman" w:hAnsi="Times New Roman" w:cs="Times New Roman"/>
          <w:sz w:val="24"/>
        </w:rPr>
        <w:t>Para finalizar, enfatizamos que em 2020 encerra-se a excepcionalidade prevista na legislação vigente, passando a se exigir a licenciatura como requisito de formação docente para atuação em EPT também para os que estão em efetivo exercício da profissão.</w:t>
      </w:r>
    </w:p>
    <w:p w:rsidR="00F57CE4" w:rsidRDefault="00131DDD" w:rsidP="00FD16A6">
      <w:pPr>
        <w:spacing w:after="267" w:line="249" w:lineRule="auto"/>
        <w:ind w:left="710" w:right="2"/>
        <w:jc w:val="center"/>
      </w:pPr>
      <w:r>
        <w:rPr>
          <w:rFonts w:ascii="Times New Roman" w:eastAsia="Times New Roman" w:hAnsi="Times New Roman" w:cs="Times New Roman"/>
          <w:sz w:val="24"/>
        </w:rPr>
        <w:t>PROEN-PROPESP-PROGEP</w:t>
      </w:r>
    </w:p>
    <w:sectPr w:rsidR="00F57CE4">
      <w:pgSz w:w="11900" w:h="16840"/>
      <w:pgMar w:top="1144" w:right="1124" w:bottom="1363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3AE4"/>
    <w:multiLevelType w:val="hybridMultilevel"/>
    <w:tmpl w:val="DD58F5D6"/>
    <w:lvl w:ilvl="0" w:tplc="AF806034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48CE26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240C6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8FBBA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4CB0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08BA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84A2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6C992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85B94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F41FE1"/>
    <w:multiLevelType w:val="multilevel"/>
    <w:tmpl w:val="70B89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DB2036E"/>
    <w:multiLevelType w:val="hybridMultilevel"/>
    <w:tmpl w:val="7026CB08"/>
    <w:lvl w:ilvl="0" w:tplc="A86838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E8D12A">
      <w:start w:val="1"/>
      <w:numFmt w:val="lowerLetter"/>
      <w:lvlText w:val="%2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C032B6">
      <w:start w:val="3"/>
      <w:numFmt w:val="lowerLetter"/>
      <w:lvlText w:val="%3)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142CAA">
      <w:start w:val="1"/>
      <w:numFmt w:val="decimal"/>
      <w:lvlText w:val="%4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32B9CE">
      <w:start w:val="1"/>
      <w:numFmt w:val="lowerLetter"/>
      <w:lvlText w:val="%5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1E6368">
      <w:start w:val="1"/>
      <w:numFmt w:val="lowerRoman"/>
      <w:lvlText w:val="%6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D25F34">
      <w:start w:val="1"/>
      <w:numFmt w:val="decimal"/>
      <w:lvlText w:val="%7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0851C8">
      <w:start w:val="1"/>
      <w:numFmt w:val="lowerLetter"/>
      <w:lvlText w:val="%8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8C4550">
      <w:start w:val="1"/>
      <w:numFmt w:val="lowerRoman"/>
      <w:lvlText w:val="%9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CC5D0F"/>
    <w:multiLevelType w:val="hybridMultilevel"/>
    <w:tmpl w:val="A5F4156E"/>
    <w:lvl w:ilvl="0" w:tplc="7A0C9F42">
      <w:start w:val="1"/>
      <w:numFmt w:val="upperRoman"/>
      <w:lvlText w:val="%1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D2D4D8">
      <w:start w:val="1"/>
      <w:numFmt w:val="lowerLetter"/>
      <w:lvlText w:val="%2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EA2C32">
      <w:start w:val="1"/>
      <w:numFmt w:val="lowerRoman"/>
      <w:lvlText w:val="%3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96085C">
      <w:start w:val="1"/>
      <w:numFmt w:val="decimal"/>
      <w:lvlText w:val="%4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A07624">
      <w:start w:val="1"/>
      <w:numFmt w:val="lowerLetter"/>
      <w:lvlText w:val="%5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C6F8D4">
      <w:start w:val="1"/>
      <w:numFmt w:val="lowerRoman"/>
      <w:lvlText w:val="%6"/>
      <w:lvlJc w:val="left"/>
      <w:pPr>
        <w:ind w:left="6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0F6F2">
      <w:start w:val="1"/>
      <w:numFmt w:val="decimal"/>
      <w:lvlText w:val="%7"/>
      <w:lvlJc w:val="left"/>
      <w:pPr>
        <w:ind w:left="7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867C1E">
      <w:start w:val="1"/>
      <w:numFmt w:val="lowerLetter"/>
      <w:lvlText w:val="%8"/>
      <w:lvlJc w:val="left"/>
      <w:pPr>
        <w:ind w:left="8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C6BFC2">
      <w:start w:val="1"/>
      <w:numFmt w:val="lowerRoman"/>
      <w:lvlText w:val="%9"/>
      <w:lvlJc w:val="left"/>
      <w:pPr>
        <w:ind w:left="8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D367DE"/>
    <w:multiLevelType w:val="hybridMultilevel"/>
    <w:tmpl w:val="10DE74B0"/>
    <w:lvl w:ilvl="0" w:tplc="0030ABF6">
      <w:start w:val="2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28658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057A2">
      <w:start w:val="1"/>
      <w:numFmt w:val="upperRoman"/>
      <w:lvlText w:val="%3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0C5DF0">
      <w:start w:val="1"/>
      <w:numFmt w:val="decimal"/>
      <w:lvlText w:val="%4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88F23A">
      <w:start w:val="1"/>
      <w:numFmt w:val="lowerLetter"/>
      <w:lvlText w:val="%5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50B1D2">
      <w:start w:val="1"/>
      <w:numFmt w:val="lowerRoman"/>
      <w:lvlText w:val="%6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4C14FA">
      <w:start w:val="1"/>
      <w:numFmt w:val="decimal"/>
      <w:lvlText w:val="%7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B6F846">
      <w:start w:val="1"/>
      <w:numFmt w:val="lowerLetter"/>
      <w:lvlText w:val="%8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E471F6">
      <w:start w:val="1"/>
      <w:numFmt w:val="lowerRoman"/>
      <w:lvlText w:val="%9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E4"/>
    <w:rsid w:val="00131DDD"/>
    <w:rsid w:val="00212EA0"/>
    <w:rsid w:val="005F5C3B"/>
    <w:rsid w:val="00601E90"/>
    <w:rsid w:val="006712C2"/>
    <w:rsid w:val="006A70AC"/>
    <w:rsid w:val="00795BB1"/>
    <w:rsid w:val="00EE5CC7"/>
    <w:rsid w:val="00F57CE4"/>
    <w:rsid w:val="00FD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BC757-4DDA-46E4-9745-BAF63077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index.php?option=com_docman&amp;view=download&amp;alias=27401-setec-rede-certific-documento-orientador-pdf&amp;category_slug=novembro-2015-pdf&amp;Itemid=3019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nualdoservidor.ifc.edu.br/validacao-formacao-pedagogic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nualdoservidor.ifc.edu.br/validacao-formacao-pedagogica/" TargetMode="External"/><Relationship Id="rId11" Type="http://schemas.openxmlformats.org/officeDocument/2006/relationships/hyperlink" Target="http://portal.mec.gov.br/index.php?option=com_docman&amp;view=download&amp;alias=27401-setec-rede-certific-documento-orientador-pdf&amp;category_slug=novembro-2015-pdf&amp;Itemid=3019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portal.mec.gov.br/index.php?option=com_docman&amp;view=download&amp;alias=27401-setec-rede-certific-documento-orientador-pdf&amp;category_slug=novembro-2015-pdf&amp;Itemid=301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mec.gov.br/index.php?option=com_docman&amp;view=download&amp;alias=27401-setec-rede-certific-documento-orientador-pdf&amp;category_slug=novembro-2015-pdf&amp;Itemid=3019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1734</Words>
  <Characters>9366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Nascimento da Silva</dc:creator>
  <cp:keywords/>
  <cp:lastModifiedBy>Rodrigo Nascimento da Silva</cp:lastModifiedBy>
  <cp:revision>6</cp:revision>
  <dcterms:created xsi:type="dcterms:W3CDTF">2019-04-14T17:40:00Z</dcterms:created>
  <dcterms:modified xsi:type="dcterms:W3CDTF">2019-04-14T18:13:00Z</dcterms:modified>
</cp:coreProperties>
</file>