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AB775" w14:textId="77777777" w:rsidR="00BB46EB" w:rsidRDefault="00BB46EB" w:rsidP="00BB46EB">
      <w:pPr>
        <w:jc w:val="both"/>
        <w:rPr>
          <w:b/>
        </w:rPr>
      </w:pPr>
      <w:r>
        <w:rPr>
          <w:b/>
        </w:rPr>
        <w:t xml:space="preserve">10. </w:t>
      </w:r>
      <w:r w:rsidRPr="00EF724D">
        <w:rPr>
          <w:b/>
        </w:rPr>
        <w:t>DEMONSTRATIVO DE CAPACIDADE E SUSTENTABILIDADE FINANCEIRAS</w:t>
      </w:r>
    </w:p>
    <w:p w14:paraId="744CC37D" w14:textId="77777777" w:rsidR="00BB46EB" w:rsidRDefault="00BB46EB" w:rsidP="00BB46EB">
      <w:pPr>
        <w:jc w:val="both"/>
        <w:rPr>
          <w:b/>
        </w:rPr>
      </w:pPr>
    </w:p>
    <w:p w14:paraId="3FF49742" w14:textId="77777777" w:rsidR="00BB46EB" w:rsidRDefault="00BB46EB" w:rsidP="00BB46EB">
      <w:pPr>
        <w:jc w:val="both"/>
      </w:pPr>
      <w:r>
        <w:t xml:space="preserve">O </w:t>
      </w:r>
      <w:proofErr w:type="spellStart"/>
      <w:r>
        <w:t>IFSul</w:t>
      </w:r>
      <w:proofErr w:type="spellEnd"/>
      <w:r>
        <w:t xml:space="preserve"> detém natureza jurídica de autarquia federal e, dessa forma, a sua sustentabilidade financeira depende dos recursos repassados pelo Governo Federal, que são consignados anualmente no orçamento da Instituição para arcar com as despesas de custeio, investimentos, pessoal ativo, inativos e pensionistas. </w:t>
      </w:r>
    </w:p>
    <w:p w14:paraId="255B9AC4" w14:textId="77777777" w:rsidR="00BB46EB" w:rsidRDefault="00BB46EB" w:rsidP="00BB46EB">
      <w:pPr>
        <w:jc w:val="both"/>
      </w:pPr>
    </w:p>
    <w:p w14:paraId="464D183C" w14:textId="77777777" w:rsidR="00BB46EB" w:rsidRDefault="00BB46EB" w:rsidP="00BB46EB">
      <w:pPr>
        <w:jc w:val="both"/>
      </w:pPr>
      <w:r>
        <w:t xml:space="preserve">O orçamento público é composto por três instrumentos de planejamento previstos na Constituição Federal: o plano plurianual (PPA), de nível estratégico, que estabelece a estratégia de desenvolvimento do país e possui vigência de quatro anos, sendo construído no primeiro ano de cada governo eleito; a Lei de Diretrizes Orçamentárias, de nível tático, que é o norteador das prioridades anuais; a Lei Orçamentária Anual (LOA), de nível operacional, que estima a receita e fixa a despesa da União para cada exercício financeiro, que tem duração de 12 meses e coincide com o ano civil. O </w:t>
      </w:r>
      <w:proofErr w:type="spellStart"/>
      <w:r>
        <w:t>IFSul</w:t>
      </w:r>
      <w:proofErr w:type="spellEnd"/>
      <w:r>
        <w:t xml:space="preserve"> é parte integrante do Orçamento Geral da União e, assim, </w:t>
      </w:r>
      <w:proofErr w:type="spellStart"/>
      <w:r>
        <w:t>obedece</w:t>
      </w:r>
      <w:proofErr w:type="spellEnd"/>
      <w:r>
        <w:t xml:space="preserve"> às regras impostas pela legislação pertinente.</w:t>
      </w:r>
    </w:p>
    <w:p w14:paraId="16A79722" w14:textId="77777777" w:rsidR="00BB46EB" w:rsidRDefault="00BB46EB" w:rsidP="00BB46EB">
      <w:pPr>
        <w:jc w:val="both"/>
      </w:pPr>
    </w:p>
    <w:p w14:paraId="365DA4F4" w14:textId="77777777" w:rsidR="00BB46EB" w:rsidRDefault="00BB46EB" w:rsidP="00BB46EB">
      <w:pPr>
        <w:jc w:val="both"/>
      </w:pPr>
      <w:r>
        <w:t xml:space="preserve">O orçamento da instituição é consignado na Lei Orçamentária Anual (LOA), cuja execução fica condicionada à Lei de Diretrizes Orçamentárias (LDO). Assim, estes recursos visam custear todas as categorias de despesas dispostas em lei, tais como: custeio, investimento e pessoal. As despesas de custeio são aquelas que atendem os contratos e serviços continuados, materiais de consumo, diárias, passagens, bolsa de ensino, pesquisa e extensão. As despesas de investimento são aquelas destinadas para obras, materiais permanentes e </w:t>
      </w:r>
      <w:r w:rsidRPr="00F515B8">
        <w:rPr>
          <w:i/>
        </w:rPr>
        <w:t>softwares</w:t>
      </w:r>
      <w:r>
        <w:t>. As despesas de pessoal são para folha de pagamento de pessoal ativo, inativo e pensionistas.</w:t>
      </w:r>
    </w:p>
    <w:p w14:paraId="418E07EC" w14:textId="77777777" w:rsidR="00BB46EB" w:rsidRDefault="00BB46EB" w:rsidP="00BB46EB">
      <w:pPr>
        <w:jc w:val="both"/>
      </w:pPr>
    </w:p>
    <w:p w14:paraId="00D2B611" w14:textId="77777777" w:rsidR="00BB46EB" w:rsidRDefault="00BB46EB" w:rsidP="00BB46EB">
      <w:pPr>
        <w:jc w:val="both"/>
      </w:pPr>
      <w:r>
        <w:t xml:space="preserve">A elaboração do orçamento do </w:t>
      </w:r>
      <w:proofErr w:type="spellStart"/>
      <w:r>
        <w:t>IFSul</w:t>
      </w:r>
      <w:proofErr w:type="spellEnd"/>
      <w:r>
        <w:t xml:space="preserve"> se dá a partir da metodologia parametrizada pelo Fórum de Planejamento e Administração – FORPLAN, do Conselho Nacional das Instituições da Rede Federal de Educação Profissional, Científica e Tecnológica – CONIF, que serve de base para distribuição do orçamento da Rede Federal.  </w:t>
      </w:r>
    </w:p>
    <w:p w14:paraId="2E9F48AC" w14:textId="77777777" w:rsidR="00BB46EB" w:rsidRDefault="00BB46EB" w:rsidP="00BB46EB">
      <w:pPr>
        <w:jc w:val="both"/>
      </w:pPr>
    </w:p>
    <w:p w14:paraId="2FB3C58E" w14:textId="77777777" w:rsidR="00BB46EB" w:rsidRDefault="00BB46EB" w:rsidP="00BB46EB">
      <w:pPr>
        <w:jc w:val="both"/>
      </w:pPr>
      <w:r>
        <w:t xml:space="preserve">Inicialmente é utilizada uma matriz, que considera diversos fatores para distribuição dos recursos entre as 41 instituições que compõem a Rede Federal de Educação Profissional, Científica e Tecnológica – 38 Institutos Federais, 02 </w:t>
      </w:r>
      <w:proofErr w:type="spellStart"/>
      <w:r>
        <w:t>CEFETs</w:t>
      </w:r>
      <w:proofErr w:type="spellEnd"/>
      <w:r>
        <w:t xml:space="preserve"> e o Colégio Pedro II. Os parâmetros utilizados são os dados de alunos matriculados, com base nos dados lançados no Sistema </w:t>
      </w:r>
      <w:proofErr w:type="spellStart"/>
      <w:r>
        <w:t>Sistec</w:t>
      </w:r>
      <w:proofErr w:type="spellEnd"/>
      <w:r>
        <w:t xml:space="preserve">, utilizando atualmente a base de dados da Plataforma Nilo Peçanha, além de peso do curso, carga horária, tipo de curso, modalidade, FIC/Proeja/Agropecuário e ciclo da matrícula. A equalização de todos os critérios gera dados chamados de matrículas totais, os quais balizam os dados de toda Rede Federal.  </w:t>
      </w:r>
    </w:p>
    <w:p w14:paraId="1EAE9A1D" w14:textId="77777777" w:rsidR="00BB46EB" w:rsidRDefault="00BB46EB" w:rsidP="00BB46EB">
      <w:pPr>
        <w:jc w:val="both"/>
      </w:pPr>
    </w:p>
    <w:p w14:paraId="2B5B0B3D" w14:textId="77777777" w:rsidR="00BB46EB" w:rsidRDefault="00BB46EB" w:rsidP="00BB46EB">
      <w:pPr>
        <w:jc w:val="both"/>
      </w:pPr>
      <w:r>
        <w:t xml:space="preserve">Após a etapa preliminar de elaboração dos dados, são iniciadas as discussões entre CONIF e SETEC/MEC, para validação dos valores totais que serão destinados à Rede Federal a aplicados os critérios de distribuição padronizados na Matriz Orçamentária. Os valores aprovados pelo MEC, após demais aprovações do orçamento da União, são consignados na LOA.   </w:t>
      </w:r>
    </w:p>
    <w:p w14:paraId="5ECAE3EF" w14:textId="77777777" w:rsidR="00BB46EB" w:rsidRDefault="00BB46EB" w:rsidP="00BB46EB">
      <w:pPr>
        <w:jc w:val="both"/>
      </w:pPr>
    </w:p>
    <w:p w14:paraId="289735EF" w14:textId="77777777" w:rsidR="00BB46EB" w:rsidRDefault="00BB46EB" w:rsidP="00BB46EB">
      <w:pPr>
        <w:jc w:val="both"/>
      </w:pPr>
      <w:r>
        <w:t xml:space="preserve">A LOA é composta por ações orçamentárias e, no caso do </w:t>
      </w:r>
      <w:proofErr w:type="spellStart"/>
      <w:r>
        <w:t>IFSul</w:t>
      </w:r>
      <w:proofErr w:type="spellEnd"/>
      <w:r>
        <w:t xml:space="preserve">, as principais ações são destinadas ao atendimento do Funcionamento de Instituições Federais de Educação Profissional e Tecnológica (Ação 20RL), Restauração e Modernização de Instituições </w:t>
      </w:r>
      <w:r>
        <w:lastRenderedPageBreak/>
        <w:t>Federais de Educação Profissional e Tecnológica (Ação 20RG) Capacitação de Servidores Públicos Federais em processo de Qualificação e Requalificação (Ação 4572) e Assistência aos Estudantes (Ação 2994).</w:t>
      </w:r>
    </w:p>
    <w:p w14:paraId="4BFCD569" w14:textId="77777777" w:rsidR="00BB46EB" w:rsidRDefault="00BB46EB" w:rsidP="00BB46EB">
      <w:pPr>
        <w:jc w:val="both"/>
      </w:pPr>
    </w:p>
    <w:p w14:paraId="3D93F0D7" w14:textId="77777777" w:rsidR="00BB46EB" w:rsidRDefault="00BB46EB" w:rsidP="00BB46EB">
      <w:pPr>
        <w:jc w:val="both"/>
      </w:pPr>
      <w:r>
        <w:t xml:space="preserve">Além do orçamento previsto na LOA, o </w:t>
      </w:r>
      <w:proofErr w:type="spellStart"/>
      <w:r>
        <w:t>IFSul</w:t>
      </w:r>
      <w:proofErr w:type="spellEnd"/>
      <w:r>
        <w:t xml:space="preserve"> pode obter receita </w:t>
      </w:r>
      <w:proofErr w:type="spellStart"/>
      <w:r>
        <w:t>extraorçamentária</w:t>
      </w:r>
      <w:proofErr w:type="spellEnd"/>
      <w:r>
        <w:t xml:space="preserve">, proveniente de fomento obtido a partir de projetos de ensino, pesquisa, extensão e desenvolvimento institucional. Este recurso pode ser recebido pela instituição através de Termos de Execução Descentralizada (TED), que trata da formalização de instrumento entre entes de mesma esfera ou de Emendas Parlamentares. Ocorre que tanto os TED quanto como as Emendas Parlamentares, possuem destinação específica para o projeto no qual lhe deu origem. Sendo assim, não compõem fontes de sustentabilidade das atividades </w:t>
      </w:r>
      <w:r w:rsidRPr="00551235">
        <w:t>gerais e regulares da instituição, mas surgem como alternativas para o fortalecimento da captação de recursos para a instituição.</w:t>
      </w:r>
    </w:p>
    <w:p w14:paraId="6F8B3DD2" w14:textId="77777777" w:rsidR="00BB46EB" w:rsidRDefault="00BB46EB" w:rsidP="00BB46EB">
      <w:pPr>
        <w:jc w:val="both"/>
      </w:pPr>
    </w:p>
    <w:p w14:paraId="4BCF99B3" w14:textId="77777777" w:rsidR="00BB46EB" w:rsidRDefault="00BB46EB" w:rsidP="00BB46EB">
      <w:pPr>
        <w:jc w:val="both"/>
      </w:pPr>
      <w:r w:rsidRPr="00C3560A">
        <w:t xml:space="preserve">A execução do orçamento do </w:t>
      </w:r>
      <w:proofErr w:type="spellStart"/>
      <w:r w:rsidRPr="00C3560A">
        <w:t>IFSul</w:t>
      </w:r>
      <w:proofErr w:type="spellEnd"/>
      <w:r w:rsidRPr="00C3560A">
        <w:t xml:space="preserve"> considera o planejamento institucional e tem origem a partir do disposto no PDI, especificamente a fim de garantir o cumprimento das políticas de ensino, pesquisa e extensão e as ações estabelecidas anualmente pelas unidades.</w:t>
      </w:r>
      <w:r>
        <w:t xml:space="preserve"> </w:t>
      </w:r>
    </w:p>
    <w:p w14:paraId="76483DF8" w14:textId="77777777" w:rsidR="00BB46EB" w:rsidRDefault="00BB46EB" w:rsidP="00BB46EB">
      <w:pPr>
        <w:jc w:val="both"/>
      </w:pPr>
    </w:p>
    <w:p w14:paraId="4C7E3A0B" w14:textId="77777777" w:rsidR="00BB46EB" w:rsidRDefault="00BB46EB" w:rsidP="00BB46EB">
      <w:pPr>
        <w:jc w:val="both"/>
      </w:pPr>
      <w:r>
        <w:t xml:space="preserve">No </w:t>
      </w:r>
      <w:proofErr w:type="spellStart"/>
      <w:r>
        <w:t>IFSul</w:t>
      </w:r>
      <w:proofErr w:type="spellEnd"/>
      <w:r>
        <w:t xml:space="preserve"> o setor responsável pelas tarefas executivas na área administrativa é a </w:t>
      </w:r>
      <w:proofErr w:type="spellStart"/>
      <w:r>
        <w:t>Pró-Reitoria</w:t>
      </w:r>
      <w:proofErr w:type="spellEnd"/>
      <w:r>
        <w:t xml:space="preserve"> de Administração e de Planejamento (PROAP), cujas principais atribuições estão vinculadas ao planejamento e à execução orçamentária e financeira do Instituto. Como atividade meio, o seu principal objetivo é assegurar que as atividades-fim desenvolvidas pelo ensino, pesquisa e extensão sejam realizadas com excelência, entregando à sociedade um ensino público, gratuito e de qualidade. </w:t>
      </w:r>
    </w:p>
    <w:p w14:paraId="2185A804" w14:textId="77777777" w:rsidR="00BB46EB" w:rsidRDefault="00BB46EB" w:rsidP="00BB46EB">
      <w:pPr>
        <w:jc w:val="both"/>
      </w:pPr>
    </w:p>
    <w:p w14:paraId="1F8B6A23" w14:textId="77777777" w:rsidR="00BB46EB" w:rsidRDefault="00BB46EB" w:rsidP="00BB46EB">
      <w:pPr>
        <w:jc w:val="both"/>
      </w:pPr>
      <w:r>
        <w:t xml:space="preserve">Compete à PROAP fazer a gestão financeira e orçamentária do </w:t>
      </w:r>
      <w:proofErr w:type="spellStart"/>
      <w:r>
        <w:t>IFSul</w:t>
      </w:r>
      <w:proofErr w:type="spellEnd"/>
      <w:r>
        <w:t xml:space="preserve">, que é o conjunto de ações de operacionalização dos recursos orçamentário e financeiro que, orientados pelas diretrizes apresentadas no PDI, visam ao atingimento de metas e objetivos pré-estabelecidos para o alcance de resultados de forma sustentável. Ademais, possui competências sistêmicas de planejar, superintender, </w:t>
      </w:r>
      <w:r w:rsidR="00BA4399">
        <w:t>orientar, coordenar e fomentar a</w:t>
      </w:r>
      <w:r>
        <w:t xml:space="preserve">s atividades dos </w:t>
      </w:r>
      <w:proofErr w:type="spellStart"/>
      <w:r>
        <w:t>câmpus</w:t>
      </w:r>
      <w:proofErr w:type="spellEnd"/>
      <w:r>
        <w:t xml:space="preserve">. </w:t>
      </w:r>
      <w:commentRangeStart w:id="0"/>
      <w:r>
        <w:t>Também é responsável por outras áreas essenciais ao processo administrativo, tais como: contratos e convênios, aquisição de materiais e equipamentos, compras e licitações, patrimônio e almoxarifado, finanças e contabilidade.</w:t>
      </w:r>
    </w:p>
    <w:p w14:paraId="42737B89" w14:textId="77777777" w:rsidR="00BB46EB" w:rsidRDefault="00BB46EB" w:rsidP="00BB46EB">
      <w:pPr>
        <w:jc w:val="both"/>
      </w:pPr>
    </w:p>
    <w:p w14:paraId="635700CC" w14:textId="77777777" w:rsidR="00BB46EB" w:rsidRDefault="00BB46EB" w:rsidP="00BB46EB">
      <w:pPr>
        <w:jc w:val="both"/>
      </w:pPr>
      <w:r>
        <w:t xml:space="preserve">Para o atendimento das demandas, a PROAP conta com duas diretorias e um departamento que promovem todo o suporte necessário para que a </w:t>
      </w:r>
      <w:proofErr w:type="spellStart"/>
      <w:r>
        <w:t>pró-reitoria</w:t>
      </w:r>
      <w:proofErr w:type="spellEnd"/>
      <w:r>
        <w:t xml:space="preserve"> atenda de forma adequada o bom funcionamento da Instituição: Diretoria de Administração (DIRAD), Diretoria de Planejamento (DIPLAN) e Departamento de Gestão e Controle Administrativo (DEGES).</w:t>
      </w:r>
      <w:commentRangeEnd w:id="0"/>
      <w:r w:rsidR="00BA4399">
        <w:rPr>
          <w:rStyle w:val="Refdecomentrio"/>
        </w:rPr>
        <w:commentReference w:id="0"/>
      </w:r>
    </w:p>
    <w:p w14:paraId="1BC67DA2" w14:textId="77777777" w:rsidR="00BB46EB" w:rsidRDefault="00BB46EB" w:rsidP="00BB46EB">
      <w:pPr>
        <w:jc w:val="both"/>
      </w:pPr>
    </w:p>
    <w:p w14:paraId="28CE7C6E" w14:textId="77777777" w:rsidR="00BB46EB" w:rsidRDefault="00BB46EB" w:rsidP="00BB46EB">
      <w:pPr>
        <w:jc w:val="both"/>
      </w:pPr>
      <w:r>
        <w:t xml:space="preserve">A maior parcela da execução orçamentária da instituição é descentralizada, possibilitando aos </w:t>
      </w:r>
      <w:proofErr w:type="spellStart"/>
      <w:r>
        <w:t>câmpus</w:t>
      </w:r>
      <w:proofErr w:type="spellEnd"/>
      <w:r>
        <w:t xml:space="preserve"> definir suas prioridades de custeio e investimento. Algumas ações comuns, consideradas sistêmicas, possuem execução centralizada na reitoria. Essa estratégia do </w:t>
      </w:r>
      <w:proofErr w:type="spellStart"/>
      <w:r>
        <w:t>IFSul</w:t>
      </w:r>
      <w:proofErr w:type="spellEnd"/>
      <w:r>
        <w:t xml:space="preserve"> busca a otimização de recursos humanos e financeiros, além de celeridade para os processos.   </w:t>
      </w:r>
    </w:p>
    <w:p w14:paraId="148853DE" w14:textId="77777777" w:rsidR="00BB46EB" w:rsidRDefault="00BB46EB" w:rsidP="00BB46EB">
      <w:pPr>
        <w:jc w:val="both"/>
      </w:pPr>
    </w:p>
    <w:p w14:paraId="4D061F33" w14:textId="77777777" w:rsidR="00BB46EB" w:rsidRDefault="00BB46EB" w:rsidP="00BB46EB">
      <w:pPr>
        <w:jc w:val="both"/>
      </w:pPr>
      <w:r w:rsidRPr="00C3560A">
        <w:t xml:space="preserve">O </w:t>
      </w:r>
      <w:proofErr w:type="spellStart"/>
      <w:r w:rsidRPr="00C3560A">
        <w:t>IFSul</w:t>
      </w:r>
      <w:proofErr w:type="spellEnd"/>
      <w:r w:rsidRPr="00C3560A">
        <w:t xml:space="preserve"> tem atrelado sua execução orçamentária ao planejamento das ações das unidades definido anualmente, o qual também considera os resultados da </w:t>
      </w:r>
      <w:proofErr w:type="spellStart"/>
      <w:r w:rsidRPr="00C3560A">
        <w:t>autoavaliação</w:t>
      </w:r>
      <w:proofErr w:type="spellEnd"/>
      <w:r w:rsidRPr="00C3560A">
        <w:t xml:space="preserve"> institucional. Todos esses instrumentos contam com a participação da comunidade acadêmica, o que dá um maior respaldo às tomadas de decisão dos gestores. Ainda, essa </w:t>
      </w:r>
      <w:r w:rsidRPr="00C3560A">
        <w:lastRenderedPageBreak/>
        <w:t>execução está disponível para consulta no site da instituição, permitindo o acompanhamento dessas despesas e a identificação da necessidade de ajustes ou adequações do orçamento disponíve</w:t>
      </w:r>
      <w:r w:rsidRPr="00551235">
        <w:t>l.</w:t>
      </w:r>
      <w:r>
        <w:t xml:space="preserve">  </w:t>
      </w:r>
    </w:p>
    <w:p w14:paraId="7EE7C02A" w14:textId="77777777" w:rsidR="00BB46EB" w:rsidRDefault="00BB46EB" w:rsidP="00BB46EB">
      <w:pPr>
        <w:jc w:val="both"/>
      </w:pPr>
    </w:p>
    <w:p w14:paraId="1BC406E4" w14:textId="77777777" w:rsidR="00BB46EB" w:rsidRDefault="00BB46EB" w:rsidP="00BB46EB">
      <w:pPr>
        <w:jc w:val="both"/>
      </w:pPr>
      <w:r>
        <w:t xml:space="preserve">Nessa perspectiva, </w:t>
      </w:r>
      <w:r w:rsidR="00BA4399">
        <w:t>apresenta-se</w:t>
      </w:r>
      <w:r>
        <w:t xml:space="preserve"> uma síntese dos recursos recebidos pela instituição e para melhor detalhamento da execução orçamentária serão consideradas três categorias de análise, quais sejam: orçamento de investimento, orçamento de custeio e orçamento pessoal e encargos sociais. Os dados orçamentários que serão descritos neste capítulo, foram extraídos através de relatórios do Tesouro Gerencial. A seguir é exposta a e</w:t>
      </w:r>
      <w:r w:rsidR="00BA4399">
        <w:t>volução histórica do orçamento.</w:t>
      </w:r>
    </w:p>
    <w:p w14:paraId="4A492794" w14:textId="77777777" w:rsidR="00BB46EB" w:rsidRDefault="00BB46EB" w:rsidP="00BB46EB">
      <w:pPr>
        <w:jc w:val="both"/>
      </w:pPr>
    </w:p>
    <w:p w14:paraId="73802EEE" w14:textId="77777777" w:rsidR="00BB46EB" w:rsidRDefault="00BB46EB" w:rsidP="00BB46EB">
      <w:pPr>
        <w:jc w:val="both"/>
      </w:pPr>
      <w:r>
        <w:t xml:space="preserve">Quadro XX – </w:t>
      </w:r>
      <w:commentRangeStart w:id="1"/>
      <w:r>
        <w:t xml:space="preserve">Evolução histórica do orçamento do </w:t>
      </w:r>
      <w:proofErr w:type="spellStart"/>
      <w:r>
        <w:t>IFSul</w:t>
      </w:r>
      <w:proofErr w:type="spellEnd"/>
      <w:r>
        <w:t xml:space="preserve"> no período 2014-2018</w:t>
      </w:r>
      <w:commentRangeEnd w:id="1"/>
      <w:r w:rsidR="00BA4399">
        <w:rPr>
          <w:rStyle w:val="Refdecomentrio"/>
        </w:rPr>
        <w:commentReference w:id="1"/>
      </w:r>
    </w:p>
    <w:tbl>
      <w:tblPr>
        <w:tblW w:w="5000" w:type="pct"/>
        <w:tblCellMar>
          <w:left w:w="57" w:type="dxa"/>
          <w:right w:w="57" w:type="dxa"/>
        </w:tblCellMar>
        <w:tblLook w:val="04A0" w:firstRow="1" w:lastRow="0" w:firstColumn="1" w:lastColumn="0" w:noHBand="0" w:noVBand="1"/>
      </w:tblPr>
      <w:tblGrid>
        <w:gridCol w:w="2012"/>
        <w:gridCol w:w="1349"/>
        <w:gridCol w:w="1332"/>
        <w:gridCol w:w="1234"/>
        <w:gridCol w:w="1333"/>
        <w:gridCol w:w="1234"/>
      </w:tblGrid>
      <w:tr w:rsidR="00BB46EB" w:rsidRPr="00993FE0" w14:paraId="6DF852CB" w14:textId="77777777" w:rsidTr="00593899">
        <w:trPr>
          <w:trHeight w:val="449"/>
        </w:trPr>
        <w:tc>
          <w:tcPr>
            <w:tcW w:w="1190" w:type="pct"/>
            <w:tcBorders>
              <w:top w:val="single" w:sz="4" w:space="0" w:color="auto"/>
              <w:left w:val="single" w:sz="4" w:space="0" w:color="auto"/>
              <w:bottom w:val="single" w:sz="4" w:space="0" w:color="auto"/>
              <w:right w:val="single" w:sz="4" w:space="0" w:color="auto"/>
            </w:tcBorders>
            <w:shd w:val="clear" w:color="000000" w:fill="F2F2F2"/>
            <w:vAlign w:val="center"/>
          </w:tcPr>
          <w:p w14:paraId="17955C52" w14:textId="77777777" w:rsidR="00BB46EB" w:rsidRPr="00993FE0" w:rsidRDefault="00BB46EB" w:rsidP="00593899">
            <w:pPr>
              <w:pStyle w:val="Epgrafe"/>
              <w:rPr>
                <w:rFonts w:eastAsiaTheme="minorHAnsi"/>
                <w:b/>
                <w:caps w:val="0"/>
                <w:sz w:val="18"/>
                <w:szCs w:val="18"/>
                <w:lang w:eastAsia="en-US"/>
              </w:rPr>
            </w:pPr>
            <w:r w:rsidRPr="00993FE0">
              <w:rPr>
                <w:rFonts w:eastAsiaTheme="minorHAnsi"/>
                <w:b/>
                <w:caps w:val="0"/>
                <w:sz w:val="18"/>
                <w:szCs w:val="18"/>
                <w:lang w:eastAsia="en-US"/>
              </w:rPr>
              <w:t>Orçamento LOA e créditos suplementares</w:t>
            </w:r>
          </w:p>
        </w:tc>
        <w:tc>
          <w:tcPr>
            <w:tcW w:w="800" w:type="pct"/>
            <w:tcBorders>
              <w:top w:val="single" w:sz="4" w:space="0" w:color="auto"/>
              <w:left w:val="single" w:sz="4" w:space="0" w:color="auto"/>
              <w:bottom w:val="single" w:sz="4" w:space="0" w:color="auto"/>
              <w:right w:val="single" w:sz="4" w:space="0" w:color="auto"/>
            </w:tcBorders>
            <w:shd w:val="clear" w:color="000000" w:fill="F2F2F2"/>
            <w:vAlign w:val="center"/>
          </w:tcPr>
          <w:p w14:paraId="58037301" w14:textId="77777777" w:rsidR="00BB46EB" w:rsidRPr="00993FE0" w:rsidRDefault="00BB46EB" w:rsidP="00593899">
            <w:pPr>
              <w:pStyle w:val="Epgrafe"/>
              <w:rPr>
                <w:rFonts w:eastAsiaTheme="minorHAnsi"/>
                <w:b/>
                <w:caps w:val="0"/>
                <w:sz w:val="18"/>
                <w:szCs w:val="18"/>
                <w:lang w:eastAsia="en-US"/>
              </w:rPr>
            </w:pPr>
            <w:r w:rsidRPr="00993FE0">
              <w:rPr>
                <w:rFonts w:eastAsiaTheme="minorHAnsi"/>
                <w:b/>
                <w:caps w:val="0"/>
                <w:sz w:val="18"/>
                <w:szCs w:val="18"/>
                <w:lang w:eastAsia="en-US"/>
              </w:rPr>
              <w:t>2014</w:t>
            </w:r>
          </w:p>
        </w:tc>
        <w:tc>
          <w:tcPr>
            <w:tcW w:w="790" w:type="pct"/>
            <w:tcBorders>
              <w:top w:val="single" w:sz="4" w:space="0" w:color="auto"/>
              <w:left w:val="single" w:sz="4" w:space="0" w:color="auto"/>
              <w:bottom w:val="single" w:sz="4" w:space="0" w:color="auto"/>
              <w:right w:val="single" w:sz="4" w:space="0" w:color="auto"/>
            </w:tcBorders>
            <w:shd w:val="clear" w:color="000000" w:fill="F2F2F2"/>
            <w:vAlign w:val="center"/>
          </w:tcPr>
          <w:p w14:paraId="175FD691" w14:textId="77777777" w:rsidR="00BB46EB" w:rsidRPr="00993FE0" w:rsidRDefault="00BB46EB" w:rsidP="00593899">
            <w:pPr>
              <w:pStyle w:val="Epgrafe"/>
              <w:rPr>
                <w:rFonts w:eastAsiaTheme="minorHAnsi"/>
                <w:b/>
                <w:caps w:val="0"/>
                <w:sz w:val="18"/>
                <w:szCs w:val="18"/>
                <w:lang w:eastAsia="en-US"/>
              </w:rPr>
            </w:pPr>
            <w:r w:rsidRPr="00993FE0">
              <w:rPr>
                <w:rFonts w:eastAsiaTheme="minorHAnsi"/>
                <w:b/>
                <w:caps w:val="0"/>
                <w:sz w:val="18"/>
                <w:szCs w:val="18"/>
                <w:lang w:eastAsia="en-US"/>
              </w:rPr>
              <w:t>2015</w:t>
            </w:r>
          </w:p>
        </w:tc>
        <w:tc>
          <w:tcPr>
            <w:tcW w:w="715" w:type="pct"/>
            <w:tcBorders>
              <w:top w:val="single" w:sz="4" w:space="0" w:color="auto"/>
              <w:left w:val="single" w:sz="4" w:space="0" w:color="auto"/>
              <w:bottom w:val="single" w:sz="4" w:space="0" w:color="auto"/>
              <w:right w:val="single" w:sz="4" w:space="0" w:color="auto"/>
            </w:tcBorders>
            <w:shd w:val="clear" w:color="000000" w:fill="F2F2F2"/>
            <w:vAlign w:val="center"/>
          </w:tcPr>
          <w:p w14:paraId="52B72D0D" w14:textId="77777777" w:rsidR="00BB46EB" w:rsidRPr="00993FE0" w:rsidRDefault="00BB46EB" w:rsidP="00593899">
            <w:pPr>
              <w:pStyle w:val="Epgrafe"/>
              <w:rPr>
                <w:rFonts w:eastAsiaTheme="minorHAnsi"/>
                <w:b/>
                <w:caps w:val="0"/>
                <w:sz w:val="18"/>
                <w:szCs w:val="18"/>
                <w:lang w:eastAsia="en-US"/>
              </w:rPr>
            </w:pPr>
            <w:r w:rsidRPr="00993FE0">
              <w:rPr>
                <w:rFonts w:eastAsiaTheme="minorHAnsi"/>
                <w:b/>
                <w:caps w:val="0"/>
                <w:sz w:val="18"/>
                <w:szCs w:val="18"/>
                <w:lang w:eastAsia="en-US"/>
              </w:rPr>
              <w:t>2016</w:t>
            </w:r>
          </w:p>
        </w:tc>
        <w:tc>
          <w:tcPr>
            <w:tcW w:w="790" w:type="pct"/>
            <w:tcBorders>
              <w:top w:val="single" w:sz="4" w:space="0" w:color="auto"/>
              <w:left w:val="single" w:sz="4" w:space="0" w:color="auto"/>
              <w:bottom w:val="single" w:sz="4" w:space="0" w:color="auto"/>
              <w:right w:val="single" w:sz="4" w:space="0" w:color="auto"/>
            </w:tcBorders>
            <w:shd w:val="clear" w:color="000000" w:fill="F2F2F2"/>
            <w:vAlign w:val="center"/>
          </w:tcPr>
          <w:p w14:paraId="58482449" w14:textId="77777777" w:rsidR="00BB46EB" w:rsidRPr="00993FE0" w:rsidRDefault="00BB46EB" w:rsidP="00593899">
            <w:pPr>
              <w:pStyle w:val="Epgrafe"/>
              <w:rPr>
                <w:rFonts w:eastAsiaTheme="minorHAnsi"/>
                <w:b/>
                <w:caps w:val="0"/>
                <w:sz w:val="18"/>
                <w:szCs w:val="18"/>
                <w:lang w:eastAsia="en-US"/>
              </w:rPr>
            </w:pPr>
            <w:r w:rsidRPr="00993FE0">
              <w:rPr>
                <w:rFonts w:eastAsiaTheme="minorHAnsi"/>
                <w:b/>
                <w:caps w:val="0"/>
                <w:sz w:val="18"/>
                <w:szCs w:val="18"/>
                <w:lang w:eastAsia="en-US"/>
              </w:rPr>
              <w:t>2017</w:t>
            </w:r>
          </w:p>
        </w:tc>
        <w:tc>
          <w:tcPr>
            <w:tcW w:w="716" w:type="pct"/>
            <w:tcBorders>
              <w:top w:val="single" w:sz="4" w:space="0" w:color="auto"/>
              <w:left w:val="single" w:sz="4" w:space="0" w:color="auto"/>
              <w:bottom w:val="single" w:sz="4" w:space="0" w:color="auto"/>
              <w:right w:val="single" w:sz="4" w:space="0" w:color="auto"/>
            </w:tcBorders>
            <w:shd w:val="clear" w:color="000000" w:fill="F2F2F2"/>
            <w:vAlign w:val="center"/>
          </w:tcPr>
          <w:p w14:paraId="62A4F92E" w14:textId="77777777" w:rsidR="00BB46EB" w:rsidRPr="00993FE0" w:rsidRDefault="00BB46EB" w:rsidP="00593899">
            <w:pPr>
              <w:pStyle w:val="Epgrafe"/>
              <w:rPr>
                <w:rFonts w:eastAsiaTheme="minorHAnsi"/>
                <w:b/>
                <w:caps w:val="0"/>
                <w:sz w:val="18"/>
                <w:szCs w:val="18"/>
                <w:lang w:eastAsia="en-US"/>
              </w:rPr>
            </w:pPr>
            <w:r w:rsidRPr="00993FE0">
              <w:rPr>
                <w:rFonts w:eastAsiaTheme="minorHAnsi"/>
                <w:b/>
                <w:caps w:val="0"/>
                <w:sz w:val="18"/>
                <w:szCs w:val="18"/>
                <w:lang w:eastAsia="en-US"/>
              </w:rPr>
              <w:t>2018</w:t>
            </w:r>
          </w:p>
        </w:tc>
      </w:tr>
      <w:tr w:rsidR="00BB46EB" w:rsidRPr="00993FE0" w14:paraId="5FA3DAD0" w14:textId="77777777" w:rsidTr="00593899">
        <w:trPr>
          <w:trHeight w:val="53"/>
        </w:trPr>
        <w:tc>
          <w:tcPr>
            <w:tcW w:w="1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8D23F7"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Pessoal e encargos sociais</w:t>
            </w:r>
          </w:p>
        </w:tc>
        <w:tc>
          <w:tcPr>
            <w:tcW w:w="800" w:type="pct"/>
            <w:tcBorders>
              <w:top w:val="single" w:sz="4" w:space="0" w:color="auto"/>
              <w:left w:val="single" w:sz="4" w:space="0" w:color="auto"/>
              <w:bottom w:val="single" w:sz="4" w:space="0" w:color="auto"/>
              <w:right w:val="single" w:sz="4" w:space="0" w:color="auto"/>
            </w:tcBorders>
            <w:vAlign w:val="center"/>
          </w:tcPr>
          <w:p w14:paraId="43A99C10"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R$223.687.572</w:t>
            </w:r>
          </w:p>
        </w:tc>
        <w:tc>
          <w:tcPr>
            <w:tcW w:w="790" w:type="pct"/>
            <w:tcBorders>
              <w:top w:val="single" w:sz="4" w:space="0" w:color="auto"/>
              <w:left w:val="single" w:sz="4" w:space="0" w:color="auto"/>
              <w:bottom w:val="single" w:sz="4" w:space="0" w:color="auto"/>
              <w:right w:val="single" w:sz="4" w:space="0" w:color="auto"/>
            </w:tcBorders>
            <w:vAlign w:val="center"/>
          </w:tcPr>
          <w:p w14:paraId="5CD4E9C7"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R$262.916.315</w:t>
            </w:r>
          </w:p>
        </w:tc>
        <w:tc>
          <w:tcPr>
            <w:tcW w:w="715" w:type="pct"/>
            <w:tcBorders>
              <w:top w:val="single" w:sz="4" w:space="0" w:color="auto"/>
              <w:left w:val="single" w:sz="4" w:space="0" w:color="auto"/>
              <w:bottom w:val="single" w:sz="4" w:space="0" w:color="auto"/>
              <w:right w:val="single" w:sz="4" w:space="0" w:color="auto"/>
            </w:tcBorders>
            <w:vAlign w:val="center"/>
          </w:tcPr>
          <w:p w14:paraId="6F195A92"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R$293.814.137</w:t>
            </w:r>
          </w:p>
        </w:tc>
        <w:tc>
          <w:tcPr>
            <w:tcW w:w="790" w:type="pct"/>
            <w:tcBorders>
              <w:top w:val="single" w:sz="4" w:space="0" w:color="auto"/>
              <w:left w:val="single" w:sz="4" w:space="0" w:color="auto"/>
              <w:bottom w:val="single" w:sz="4" w:space="0" w:color="auto"/>
              <w:right w:val="single" w:sz="4" w:space="0" w:color="auto"/>
            </w:tcBorders>
            <w:vAlign w:val="center"/>
          </w:tcPr>
          <w:p w14:paraId="3AB486BB" w14:textId="77777777" w:rsidR="00BB46EB" w:rsidRPr="00993FE0" w:rsidRDefault="00BB46EB" w:rsidP="00593899">
            <w:pPr>
              <w:pStyle w:val="Default"/>
              <w:jc w:val="center"/>
              <w:rPr>
                <w:rFonts w:eastAsiaTheme="minorHAnsi"/>
                <w:color w:val="auto"/>
                <w:sz w:val="18"/>
                <w:szCs w:val="18"/>
                <w:lang w:eastAsia="en-US"/>
              </w:rPr>
            </w:pPr>
            <w:r w:rsidRPr="00993FE0">
              <w:rPr>
                <w:rFonts w:eastAsiaTheme="minorHAnsi"/>
                <w:color w:val="auto"/>
                <w:sz w:val="18"/>
                <w:szCs w:val="18"/>
                <w:lang w:eastAsia="en-US"/>
              </w:rPr>
              <w:t>R$334.441.887</w:t>
            </w:r>
          </w:p>
        </w:tc>
        <w:tc>
          <w:tcPr>
            <w:tcW w:w="716" w:type="pct"/>
            <w:tcBorders>
              <w:top w:val="single" w:sz="4" w:space="0" w:color="auto"/>
              <w:left w:val="single" w:sz="4" w:space="0" w:color="auto"/>
              <w:bottom w:val="single" w:sz="4" w:space="0" w:color="auto"/>
              <w:right w:val="single" w:sz="4" w:space="0" w:color="auto"/>
            </w:tcBorders>
            <w:vAlign w:val="center"/>
          </w:tcPr>
          <w:p w14:paraId="3AA178CB" w14:textId="77777777" w:rsidR="00BB46EB" w:rsidRPr="00993FE0" w:rsidRDefault="00BB46EB" w:rsidP="00593899">
            <w:pPr>
              <w:pStyle w:val="Default"/>
              <w:jc w:val="center"/>
              <w:rPr>
                <w:rFonts w:eastAsiaTheme="minorHAnsi"/>
                <w:color w:val="auto"/>
                <w:sz w:val="18"/>
                <w:szCs w:val="18"/>
                <w:lang w:eastAsia="en-US"/>
              </w:rPr>
            </w:pPr>
            <w:r w:rsidRPr="00993FE0">
              <w:rPr>
                <w:rFonts w:eastAsiaTheme="minorHAnsi"/>
                <w:color w:val="auto"/>
                <w:sz w:val="18"/>
                <w:szCs w:val="18"/>
                <w:lang w:eastAsia="en-US"/>
              </w:rPr>
              <w:t>R$359.247.851</w:t>
            </w:r>
          </w:p>
        </w:tc>
      </w:tr>
      <w:tr w:rsidR="00BB46EB" w:rsidRPr="00993FE0" w14:paraId="3B7EA68E" w14:textId="77777777" w:rsidTr="00593899">
        <w:trPr>
          <w:trHeight w:val="53"/>
        </w:trPr>
        <w:tc>
          <w:tcPr>
            <w:tcW w:w="1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0E39F3"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Outras despesas correntes</w:t>
            </w:r>
          </w:p>
        </w:tc>
        <w:tc>
          <w:tcPr>
            <w:tcW w:w="800" w:type="pct"/>
            <w:tcBorders>
              <w:top w:val="single" w:sz="4" w:space="0" w:color="auto"/>
              <w:left w:val="single" w:sz="4" w:space="0" w:color="auto"/>
              <w:bottom w:val="single" w:sz="4" w:space="0" w:color="auto"/>
              <w:right w:val="single" w:sz="4" w:space="0" w:color="auto"/>
            </w:tcBorders>
            <w:vAlign w:val="center"/>
          </w:tcPr>
          <w:p w14:paraId="38D1F7B2"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R$67.891.986</w:t>
            </w:r>
          </w:p>
        </w:tc>
        <w:tc>
          <w:tcPr>
            <w:tcW w:w="790" w:type="pct"/>
            <w:tcBorders>
              <w:top w:val="single" w:sz="4" w:space="0" w:color="auto"/>
              <w:left w:val="single" w:sz="4" w:space="0" w:color="auto"/>
              <w:bottom w:val="single" w:sz="4" w:space="0" w:color="auto"/>
              <w:right w:val="single" w:sz="4" w:space="0" w:color="auto"/>
            </w:tcBorders>
            <w:vAlign w:val="center"/>
          </w:tcPr>
          <w:p w14:paraId="6A182806"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R$70.411.779</w:t>
            </w:r>
          </w:p>
        </w:tc>
        <w:tc>
          <w:tcPr>
            <w:tcW w:w="715" w:type="pct"/>
            <w:tcBorders>
              <w:top w:val="single" w:sz="4" w:space="0" w:color="auto"/>
              <w:left w:val="single" w:sz="4" w:space="0" w:color="auto"/>
              <w:bottom w:val="single" w:sz="4" w:space="0" w:color="auto"/>
              <w:right w:val="single" w:sz="4" w:space="0" w:color="auto"/>
            </w:tcBorders>
            <w:vAlign w:val="center"/>
          </w:tcPr>
          <w:p w14:paraId="3BC46F82"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R$73.864.236</w:t>
            </w:r>
          </w:p>
        </w:tc>
        <w:tc>
          <w:tcPr>
            <w:tcW w:w="790" w:type="pct"/>
            <w:tcBorders>
              <w:top w:val="single" w:sz="4" w:space="0" w:color="auto"/>
              <w:left w:val="single" w:sz="4" w:space="0" w:color="auto"/>
              <w:bottom w:val="single" w:sz="4" w:space="0" w:color="auto"/>
              <w:right w:val="single" w:sz="4" w:space="0" w:color="auto"/>
            </w:tcBorders>
            <w:vAlign w:val="center"/>
          </w:tcPr>
          <w:p w14:paraId="79F69555"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R$73.973.454</w:t>
            </w: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tcPr>
          <w:p w14:paraId="03CBC62F" w14:textId="77777777" w:rsidR="00BB46EB" w:rsidRPr="00993FE0" w:rsidRDefault="00BB46EB" w:rsidP="00593899">
            <w:pPr>
              <w:pStyle w:val="Default"/>
              <w:jc w:val="center"/>
              <w:rPr>
                <w:rFonts w:eastAsiaTheme="minorHAnsi"/>
                <w:color w:val="auto"/>
                <w:sz w:val="18"/>
                <w:szCs w:val="18"/>
                <w:lang w:eastAsia="en-US"/>
              </w:rPr>
            </w:pPr>
            <w:r w:rsidRPr="00993FE0">
              <w:rPr>
                <w:rFonts w:eastAsiaTheme="minorHAnsi"/>
                <w:color w:val="auto"/>
                <w:sz w:val="18"/>
                <w:szCs w:val="18"/>
                <w:lang w:eastAsia="en-US"/>
              </w:rPr>
              <w:t>R$72.362.174</w:t>
            </w:r>
          </w:p>
        </w:tc>
      </w:tr>
      <w:tr w:rsidR="00BB46EB" w:rsidRPr="00993FE0" w14:paraId="392DCE33" w14:textId="77777777" w:rsidTr="00593899">
        <w:trPr>
          <w:trHeight w:val="53"/>
        </w:trPr>
        <w:tc>
          <w:tcPr>
            <w:tcW w:w="1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C8793F"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Investimento</w:t>
            </w:r>
          </w:p>
        </w:tc>
        <w:tc>
          <w:tcPr>
            <w:tcW w:w="800" w:type="pct"/>
            <w:tcBorders>
              <w:top w:val="single" w:sz="4" w:space="0" w:color="auto"/>
              <w:left w:val="single" w:sz="4" w:space="0" w:color="auto"/>
              <w:bottom w:val="single" w:sz="4" w:space="0" w:color="auto"/>
              <w:right w:val="single" w:sz="4" w:space="0" w:color="auto"/>
            </w:tcBorders>
            <w:vAlign w:val="center"/>
          </w:tcPr>
          <w:p w14:paraId="19E00955"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R$30.086.587</w:t>
            </w:r>
          </w:p>
        </w:tc>
        <w:tc>
          <w:tcPr>
            <w:tcW w:w="790" w:type="pct"/>
            <w:tcBorders>
              <w:top w:val="single" w:sz="4" w:space="0" w:color="auto"/>
              <w:left w:val="single" w:sz="4" w:space="0" w:color="auto"/>
              <w:bottom w:val="single" w:sz="4" w:space="0" w:color="auto"/>
              <w:right w:val="single" w:sz="4" w:space="0" w:color="auto"/>
            </w:tcBorders>
            <w:vAlign w:val="center"/>
          </w:tcPr>
          <w:p w14:paraId="42D2B222"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R$24.154.903</w:t>
            </w:r>
          </w:p>
        </w:tc>
        <w:tc>
          <w:tcPr>
            <w:tcW w:w="715" w:type="pct"/>
            <w:tcBorders>
              <w:top w:val="single" w:sz="4" w:space="0" w:color="auto"/>
              <w:left w:val="single" w:sz="4" w:space="0" w:color="auto"/>
              <w:bottom w:val="single" w:sz="4" w:space="0" w:color="auto"/>
              <w:right w:val="single" w:sz="4" w:space="0" w:color="auto"/>
            </w:tcBorders>
            <w:vAlign w:val="center"/>
          </w:tcPr>
          <w:p w14:paraId="28089B4B"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R$8.215.825</w:t>
            </w:r>
          </w:p>
        </w:tc>
        <w:tc>
          <w:tcPr>
            <w:tcW w:w="790" w:type="pct"/>
            <w:tcBorders>
              <w:top w:val="single" w:sz="4" w:space="0" w:color="auto"/>
              <w:left w:val="single" w:sz="4" w:space="0" w:color="auto"/>
              <w:bottom w:val="single" w:sz="4" w:space="0" w:color="auto"/>
              <w:right w:val="single" w:sz="4" w:space="0" w:color="auto"/>
            </w:tcBorders>
            <w:vAlign w:val="center"/>
          </w:tcPr>
          <w:p w14:paraId="6D3A5706"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R$7.403.235</w:t>
            </w:r>
          </w:p>
        </w:tc>
        <w:tc>
          <w:tcPr>
            <w:tcW w:w="716" w:type="pct"/>
            <w:tcBorders>
              <w:top w:val="single" w:sz="4" w:space="0" w:color="auto"/>
              <w:left w:val="single" w:sz="4" w:space="0" w:color="auto"/>
              <w:bottom w:val="single" w:sz="4" w:space="0" w:color="auto"/>
              <w:right w:val="single" w:sz="4" w:space="0" w:color="auto"/>
            </w:tcBorders>
            <w:vAlign w:val="center"/>
          </w:tcPr>
          <w:p w14:paraId="722965A8" w14:textId="77777777" w:rsidR="00BB46EB" w:rsidRPr="00993FE0" w:rsidRDefault="00BB46EB" w:rsidP="00593899">
            <w:pPr>
              <w:pStyle w:val="Default"/>
              <w:jc w:val="center"/>
              <w:rPr>
                <w:rFonts w:eastAsiaTheme="minorHAnsi"/>
                <w:color w:val="auto"/>
                <w:sz w:val="18"/>
                <w:szCs w:val="18"/>
                <w:lang w:eastAsia="en-US"/>
              </w:rPr>
            </w:pPr>
            <w:r w:rsidRPr="00993FE0">
              <w:rPr>
                <w:rFonts w:eastAsiaTheme="minorHAnsi"/>
                <w:color w:val="auto"/>
                <w:sz w:val="18"/>
                <w:szCs w:val="18"/>
                <w:lang w:eastAsia="en-US"/>
              </w:rPr>
              <w:t>R$5.490.903</w:t>
            </w:r>
          </w:p>
        </w:tc>
      </w:tr>
      <w:tr w:rsidR="00BB46EB" w:rsidRPr="00993FE0" w14:paraId="04CEF2B9" w14:textId="77777777" w:rsidTr="00593899">
        <w:trPr>
          <w:trHeight w:val="53"/>
        </w:trPr>
        <w:tc>
          <w:tcPr>
            <w:tcW w:w="1190" w:type="pct"/>
            <w:tcBorders>
              <w:top w:val="single" w:sz="4" w:space="0" w:color="auto"/>
              <w:left w:val="single" w:sz="4" w:space="0" w:color="auto"/>
              <w:bottom w:val="single" w:sz="4" w:space="0" w:color="auto"/>
              <w:right w:val="single" w:sz="4" w:space="0" w:color="auto"/>
            </w:tcBorders>
            <w:shd w:val="clear" w:color="000000" w:fill="FFFFFF"/>
            <w:vAlign w:val="center"/>
          </w:tcPr>
          <w:p w14:paraId="2D4C5139" w14:textId="77777777" w:rsidR="00BB46EB" w:rsidRPr="00993FE0" w:rsidRDefault="00BB46EB" w:rsidP="00593899">
            <w:pPr>
              <w:pStyle w:val="Epgrafe"/>
              <w:rPr>
                <w:rFonts w:eastAsiaTheme="minorHAnsi"/>
                <w:b/>
                <w:caps w:val="0"/>
                <w:sz w:val="18"/>
                <w:szCs w:val="18"/>
                <w:lang w:eastAsia="en-US"/>
              </w:rPr>
            </w:pPr>
            <w:r w:rsidRPr="00993FE0">
              <w:rPr>
                <w:rFonts w:eastAsiaTheme="minorHAnsi"/>
                <w:b/>
                <w:caps w:val="0"/>
                <w:sz w:val="18"/>
                <w:szCs w:val="18"/>
                <w:lang w:eastAsia="en-US"/>
              </w:rPr>
              <w:t xml:space="preserve">Total </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14:paraId="63D4B140" w14:textId="77777777" w:rsidR="00BB46EB" w:rsidRPr="00993FE0" w:rsidRDefault="00BB46EB" w:rsidP="00593899">
            <w:pPr>
              <w:pStyle w:val="Epgrafe"/>
              <w:rPr>
                <w:rFonts w:eastAsiaTheme="minorHAnsi"/>
                <w:b/>
                <w:caps w:val="0"/>
                <w:sz w:val="18"/>
                <w:szCs w:val="18"/>
                <w:lang w:eastAsia="en-US"/>
              </w:rPr>
            </w:pPr>
            <w:r w:rsidRPr="00993FE0">
              <w:rPr>
                <w:rFonts w:eastAsiaTheme="minorHAnsi"/>
                <w:b/>
                <w:caps w:val="0"/>
                <w:sz w:val="18"/>
                <w:szCs w:val="18"/>
                <w:lang w:eastAsia="en-US"/>
              </w:rPr>
              <w:t>R$321.666.145</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tcPr>
          <w:p w14:paraId="71A0D145" w14:textId="77777777" w:rsidR="00BB46EB" w:rsidRPr="00993FE0" w:rsidRDefault="00BB46EB" w:rsidP="00593899">
            <w:pPr>
              <w:pStyle w:val="Epgrafe"/>
              <w:rPr>
                <w:rFonts w:eastAsiaTheme="minorHAnsi"/>
                <w:b/>
                <w:caps w:val="0"/>
                <w:sz w:val="18"/>
                <w:szCs w:val="18"/>
                <w:lang w:eastAsia="en-US"/>
              </w:rPr>
            </w:pPr>
            <w:r w:rsidRPr="00993FE0">
              <w:rPr>
                <w:rFonts w:eastAsiaTheme="minorHAnsi"/>
                <w:b/>
                <w:caps w:val="0"/>
                <w:sz w:val="18"/>
                <w:szCs w:val="18"/>
                <w:lang w:eastAsia="en-US"/>
              </w:rPr>
              <w:t>R$357.482.997</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tcPr>
          <w:p w14:paraId="418928EC" w14:textId="77777777" w:rsidR="00BB46EB" w:rsidRPr="00993FE0" w:rsidRDefault="00BB46EB" w:rsidP="00593899">
            <w:pPr>
              <w:pStyle w:val="Epgrafe"/>
              <w:rPr>
                <w:rFonts w:eastAsiaTheme="minorHAnsi"/>
                <w:b/>
                <w:caps w:val="0"/>
                <w:sz w:val="18"/>
                <w:szCs w:val="18"/>
                <w:lang w:eastAsia="en-US"/>
              </w:rPr>
            </w:pPr>
            <w:r w:rsidRPr="00993FE0">
              <w:rPr>
                <w:rFonts w:eastAsiaTheme="minorHAnsi"/>
                <w:b/>
                <w:caps w:val="0"/>
                <w:sz w:val="18"/>
                <w:szCs w:val="18"/>
                <w:lang w:eastAsia="en-US"/>
              </w:rPr>
              <w:t>R$375.894.198</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tcPr>
          <w:p w14:paraId="45F3AC18" w14:textId="77777777" w:rsidR="00BB46EB" w:rsidRPr="00993FE0" w:rsidRDefault="00BB46EB" w:rsidP="00593899">
            <w:pPr>
              <w:pStyle w:val="Epgrafe"/>
              <w:rPr>
                <w:rFonts w:eastAsiaTheme="minorHAnsi"/>
                <w:b/>
                <w:caps w:val="0"/>
                <w:sz w:val="18"/>
                <w:szCs w:val="18"/>
                <w:lang w:eastAsia="en-US"/>
              </w:rPr>
            </w:pPr>
            <w:r w:rsidRPr="00993FE0">
              <w:rPr>
                <w:rFonts w:eastAsiaTheme="minorHAnsi"/>
                <w:b/>
                <w:caps w:val="0"/>
                <w:sz w:val="18"/>
                <w:szCs w:val="18"/>
                <w:lang w:eastAsia="en-US"/>
              </w:rPr>
              <w:t>R$415.818.576</w:t>
            </w: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tcPr>
          <w:p w14:paraId="301DDDB3" w14:textId="77777777" w:rsidR="00BB46EB" w:rsidRPr="00993FE0" w:rsidRDefault="00BB46EB" w:rsidP="00593899">
            <w:pPr>
              <w:pStyle w:val="Default"/>
              <w:jc w:val="center"/>
              <w:rPr>
                <w:rFonts w:eastAsiaTheme="minorHAnsi"/>
                <w:b/>
                <w:color w:val="auto"/>
                <w:sz w:val="18"/>
                <w:szCs w:val="18"/>
                <w:lang w:eastAsia="en-US"/>
              </w:rPr>
            </w:pPr>
            <w:r w:rsidRPr="00993FE0">
              <w:rPr>
                <w:rFonts w:eastAsiaTheme="minorHAnsi"/>
                <w:b/>
                <w:color w:val="auto"/>
                <w:sz w:val="18"/>
                <w:szCs w:val="18"/>
                <w:lang w:eastAsia="en-US"/>
              </w:rPr>
              <w:t>R$437.100.928</w:t>
            </w:r>
          </w:p>
        </w:tc>
      </w:tr>
    </w:tbl>
    <w:p w14:paraId="12425CC1" w14:textId="77777777" w:rsidR="00BB46EB" w:rsidRDefault="00BB46EB" w:rsidP="00BB46EB">
      <w:pPr>
        <w:jc w:val="both"/>
      </w:pPr>
    </w:p>
    <w:p w14:paraId="16ED1EC6" w14:textId="77777777" w:rsidR="00BB46EB" w:rsidRDefault="00BB46EB" w:rsidP="00BB46EB">
      <w:pPr>
        <w:jc w:val="both"/>
      </w:pPr>
      <w:r>
        <w:t xml:space="preserve">Figura XX – Orçamento total do </w:t>
      </w:r>
      <w:proofErr w:type="spellStart"/>
      <w:r>
        <w:t>IFSul</w:t>
      </w:r>
      <w:proofErr w:type="spellEnd"/>
      <w:r>
        <w:t xml:space="preserve"> no período 2014-2018</w:t>
      </w:r>
    </w:p>
    <w:p w14:paraId="21C2506C" w14:textId="77777777" w:rsidR="00BB46EB" w:rsidRDefault="00BB46EB" w:rsidP="00BB46EB">
      <w:pPr>
        <w:jc w:val="both"/>
      </w:pPr>
      <w:r>
        <w:rPr>
          <w:noProof/>
          <w:lang w:eastAsia="pt-BR"/>
        </w:rPr>
        <w:drawing>
          <wp:inline distT="0" distB="0" distL="0" distR="0" wp14:anchorId="179EF13A" wp14:editId="4799052D">
            <wp:extent cx="5400040" cy="2637129"/>
            <wp:effectExtent l="0" t="0" r="10160" b="114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940571" w14:textId="77777777" w:rsidR="00BB46EB" w:rsidRDefault="00BB46EB" w:rsidP="00BB46EB">
      <w:pPr>
        <w:jc w:val="both"/>
      </w:pPr>
    </w:p>
    <w:p w14:paraId="67A1A175" w14:textId="77777777" w:rsidR="00BB46EB" w:rsidRDefault="00BB46EB" w:rsidP="00BB46EB">
      <w:pPr>
        <w:jc w:val="both"/>
      </w:pPr>
      <w:r>
        <w:t xml:space="preserve">Figura XX – </w:t>
      </w:r>
      <w:commentRangeStart w:id="2"/>
      <w:r>
        <w:t xml:space="preserve">Orçamento de investimento do </w:t>
      </w:r>
      <w:proofErr w:type="spellStart"/>
      <w:r>
        <w:t>IFSul</w:t>
      </w:r>
      <w:proofErr w:type="spellEnd"/>
      <w:r>
        <w:t xml:space="preserve"> no período 2014-2018</w:t>
      </w:r>
      <w:commentRangeEnd w:id="2"/>
      <w:r w:rsidR="00BA4399">
        <w:rPr>
          <w:rStyle w:val="Refdecomentrio"/>
        </w:rPr>
        <w:commentReference w:id="2"/>
      </w:r>
    </w:p>
    <w:p w14:paraId="3EBBE470" w14:textId="77777777" w:rsidR="00BB46EB" w:rsidRDefault="00BB46EB" w:rsidP="00BB46EB">
      <w:pPr>
        <w:jc w:val="both"/>
      </w:pPr>
      <w:r>
        <w:rPr>
          <w:noProof/>
          <w:lang w:eastAsia="pt-BR"/>
        </w:rPr>
        <w:drawing>
          <wp:inline distT="0" distB="0" distL="0" distR="0" wp14:anchorId="546877A6" wp14:editId="46C2EF26">
            <wp:extent cx="5400040" cy="2051050"/>
            <wp:effectExtent l="0" t="0" r="10160" b="63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377BD9" w14:textId="77777777" w:rsidR="00BB46EB" w:rsidRDefault="00BB46EB" w:rsidP="00BB46EB">
      <w:pPr>
        <w:jc w:val="both"/>
      </w:pPr>
      <w:r>
        <w:t xml:space="preserve"> </w:t>
      </w:r>
    </w:p>
    <w:p w14:paraId="70970188" w14:textId="77777777" w:rsidR="00BB46EB" w:rsidRDefault="00BB46EB" w:rsidP="00BB46EB">
      <w:pPr>
        <w:jc w:val="both"/>
      </w:pPr>
    </w:p>
    <w:p w14:paraId="6C22A61B" w14:textId="77777777" w:rsidR="00BB46EB" w:rsidRDefault="00BB46EB" w:rsidP="00BB46EB">
      <w:pPr>
        <w:jc w:val="both"/>
      </w:pPr>
      <w:r>
        <w:lastRenderedPageBreak/>
        <w:t xml:space="preserve">Outra forma de obter recursos de custeio e capital para subsidiar as ações do </w:t>
      </w:r>
      <w:proofErr w:type="spellStart"/>
      <w:r>
        <w:t>IFSul</w:t>
      </w:r>
      <w:proofErr w:type="spellEnd"/>
      <w:r>
        <w:t xml:space="preserve"> é por meio da captação junto aos órgãos de fomento do governo com base em termos de execução descentralizada aprovados para projetos específicos, detalhados em planos de trabalho e com posterior prestação de contas. No quadro abaixo são demonstrados os valores obtidos pelo </w:t>
      </w:r>
      <w:proofErr w:type="spellStart"/>
      <w:r>
        <w:t>IFSul</w:t>
      </w:r>
      <w:proofErr w:type="spellEnd"/>
      <w:r>
        <w:t xml:space="preserve"> por meio de descentralizações nos últimos anos: </w:t>
      </w:r>
    </w:p>
    <w:p w14:paraId="084B42A3" w14:textId="77777777" w:rsidR="00BB46EB" w:rsidRDefault="00BB46EB" w:rsidP="00BB46EB">
      <w:pPr>
        <w:jc w:val="both"/>
      </w:pPr>
    </w:p>
    <w:p w14:paraId="4BE14236" w14:textId="1FAEF612" w:rsidR="00BB46EB" w:rsidRDefault="00BB46EB" w:rsidP="00BB46EB">
      <w:pPr>
        <w:jc w:val="both"/>
      </w:pPr>
      <w:r>
        <w:t xml:space="preserve">Quadro XX – Valores recebidos pelo </w:t>
      </w:r>
      <w:proofErr w:type="spellStart"/>
      <w:r>
        <w:t>IFSul</w:t>
      </w:r>
      <w:proofErr w:type="spellEnd"/>
      <w:r>
        <w:t xml:space="preserve"> por meio de descentralizações no período 2014-2018</w:t>
      </w:r>
    </w:p>
    <w:tbl>
      <w:tblPr>
        <w:tblW w:w="5000" w:type="pct"/>
        <w:tblLayout w:type="fixed"/>
        <w:tblCellMar>
          <w:left w:w="57" w:type="dxa"/>
          <w:right w:w="57" w:type="dxa"/>
        </w:tblCellMar>
        <w:tblLook w:val="04A0" w:firstRow="1" w:lastRow="0" w:firstColumn="1" w:lastColumn="0" w:noHBand="0" w:noVBand="1"/>
      </w:tblPr>
      <w:tblGrid>
        <w:gridCol w:w="1555"/>
        <w:gridCol w:w="1387"/>
        <w:gridCol w:w="1388"/>
        <w:gridCol w:w="1388"/>
        <w:gridCol w:w="1388"/>
        <w:gridCol w:w="1388"/>
      </w:tblGrid>
      <w:tr w:rsidR="00BB46EB" w:rsidRPr="00993FE0" w14:paraId="6837C19C" w14:textId="77777777" w:rsidTr="00593899">
        <w:trPr>
          <w:trHeight w:val="449"/>
        </w:trPr>
        <w:tc>
          <w:tcPr>
            <w:tcW w:w="915" w:type="pct"/>
            <w:tcBorders>
              <w:top w:val="single" w:sz="4" w:space="0" w:color="auto"/>
              <w:left w:val="single" w:sz="4" w:space="0" w:color="auto"/>
              <w:bottom w:val="single" w:sz="4" w:space="0" w:color="auto"/>
              <w:right w:val="single" w:sz="4" w:space="0" w:color="auto"/>
            </w:tcBorders>
            <w:shd w:val="clear" w:color="000000" w:fill="F2F2F2"/>
            <w:vAlign w:val="center"/>
          </w:tcPr>
          <w:p w14:paraId="1BB6004A" w14:textId="77777777" w:rsidR="00BB46EB" w:rsidRPr="00993FE0" w:rsidRDefault="00BB46EB" w:rsidP="00593899">
            <w:pPr>
              <w:pStyle w:val="Epgrafe"/>
              <w:rPr>
                <w:rFonts w:eastAsiaTheme="minorHAnsi"/>
                <w:b/>
                <w:caps w:val="0"/>
                <w:sz w:val="18"/>
                <w:szCs w:val="18"/>
                <w:lang w:eastAsia="en-US"/>
              </w:rPr>
            </w:pPr>
            <w:r w:rsidRPr="00993FE0">
              <w:rPr>
                <w:rFonts w:eastAsiaTheme="minorHAnsi"/>
                <w:b/>
                <w:caps w:val="0"/>
                <w:sz w:val="18"/>
                <w:szCs w:val="18"/>
                <w:lang w:eastAsia="en-US"/>
              </w:rPr>
              <w:t>TED</w:t>
            </w:r>
          </w:p>
        </w:tc>
        <w:tc>
          <w:tcPr>
            <w:tcW w:w="816" w:type="pct"/>
            <w:tcBorders>
              <w:top w:val="single" w:sz="4" w:space="0" w:color="auto"/>
              <w:left w:val="single" w:sz="4" w:space="0" w:color="auto"/>
              <w:bottom w:val="single" w:sz="4" w:space="0" w:color="auto"/>
              <w:right w:val="single" w:sz="4" w:space="0" w:color="auto"/>
            </w:tcBorders>
            <w:shd w:val="clear" w:color="000000" w:fill="F2F2F2"/>
            <w:vAlign w:val="center"/>
          </w:tcPr>
          <w:p w14:paraId="3035D539" w14:textId="77777777" w:rsidR="00BB46EB" w:rsidRPr="00993FE0" w:rsidRDefault="00BB46EB" w:rsidP="00593899">
            <w:pPr>
              <w:pStyle w:val="Epgrafe"/>
              <w:rPr>
                <w:rFonts w:eastAsiaTheme="minorHAnsi"/>
                <w:b/>
                <w:caps w:val="0"/>
                <w:sz w:val="18"/>
                <w:szCs w:val="18"/>
                <w:lang w:eastAsia="en-US"/>
              </w:rPr>
            </w:pPr>
            <w:r w:rsidRPr="00993FE0">
              <w:rPr>
                <w:rFonts w:eastAsiaTheme="minorHAnsi"/>
                <w:b/>
                <w:caps w:val="0"/>
                <w:sz w:val="18"/>
                <w:szCs w:val="18"/>
                <w:lang w:eastAsia="en-US"/>
              </w:rPr>
              <w:t>2014</w:t>
            </w:r>
          </w:p>
        </w:tc>
        <w:tc>
          <w:tcPr>
            <w:tcW w:w="817" w:type="pct"/>
            <w:tcBorders>
              <w:top w:val="single" w:sz="4" w:space="0" w:color="auto"/>
              <w:left w:val="single" w:sz="4" w:space="0" w:color="auto"/>
              <w:bottom w:val="single" w:sz="4" w:space="0" w:color="auto"/>
              <w:right w:val="single" w:sz="4" w:space="0" w:color="auto"/>
            </w:tcBorders>
            <w:shd w:val="clear" w:color="000000" w:fill="F2F2F2"/>
            <w:vAlign w:val="center"/>
          </w:tcPr>
          <w:p w14:paraId="1C41CA58" w14:textId="77777777" w:rsidR="00BB46EB" w:rsidRPr="00993FE0" w:rsidRDefault="00BB46EB" w:rsidP="00593899">
            <w:pPr>
              <w:pStyle w:val="Epgrafe"/>
              <w:rPr>
                <w:rFonts w:eastAsiaTheme="minorHAnsi"/>
                <w:b/>
                <w:caps w:val="0"/>
                <w:sz w:val="18"/>
                <w:szCs w:val="18"/>
                <w:lang w:eastAsia="en-US"/>
              </w:rPr>
            </w:pPr>
            <w:r w:rsidRPr="00993FE0">
              <w:rPr>
                <w:rFonts w:eastAsiaTheme="minorHAnsi"/>
                <w:b/>
                <w:caps w:val="0"/>
                <w:sz w:val="18"/>
                <w:szCs w:val="18"/>
                <w:lang w:eastAsia="en-US"/>
              </w:rPr>
              <w:t>2015</w:t>
            </w:r>
          </w:p>
        </w:tc>
        <w:tc>
          <w:tcPr>
            <w:tcW w:w="817" w:type="pct"/>
            <w:tcBorders>
              <w:top w:val="single" w:sz="4" w:space="0" w:color="auto"/>
              <w:left w:val="single" w:sz="4" w:space="0" w:color="auto"/>
              <w:bottom w:val="single" w:sz="4" w:space="0" w:color="auto"/>
              <w:right w:val="single" w:sz="4" w:space="0" w:color="auto"/>
            </w:tcBorders>
            <w:shd w:val="clear" w:color="000000" w:fill="F2F2F2"/>
            <w:vAlign w:val="center"/>
          </w:tcPr>
          <w:p w14:paraId="22FC5542" w14:textId="77777777" w:rsidR="00BB46EB" w:rsidRPr="00993FE0" w:rsidRDefault="00BB46EB" w:rsidP="00593899">
            <w:pPr>
              <w:pStyle w:val="Epgrafe"/>
              <w:rPr>
                <w:rFonts w:eastAsiaTheme="minorHAnsi"/>
                <w:b/>
                <w:caps w:val="0"/>
                <w:sz w:val="18"/>
                <w:szCs w:val="18"/>
                <w:lang w:eastAsia="en-US"/>
              </w:rPr>
            </w:pPr>
            <w:r w:rsidRPr="00993FE0">
              <w:rPr>
                <w:rFonts w:eastAsiaTheme="minorHAnsi"/>
                <w:b/>
                <w:caps w:val="0"/>
                <w:sz w:val="18"/>
                <w:szCs w:val="18"/>
                <w:lang w:eastAsia="en-US"/>
              </w:rPr>
              <w:t>2016</w:t>
            </w:r>
          </w:p>
        </w:tc>
        <w:tc>
          <w:tcPr>
            <w:tcW w:w="817" w:type="pct"/>
            <w:tcBorders>
              <w:top w:val="single" w:sz="4" w:space="0" w:color="auto"/>
              <w:left w:val="single" w:sz="4" w:space="0" w:color="auto"/>
              <w:bottom w:val="single" w:sz="4" w:space="0" w:color="auto"/>
              <w:right w:val="single" w:sz="4" w:space="0" w:color="auto"/>
            </w:tcBorders>
            <w:shd w:val="clear" w:color="000000" w:fill="F2F2F2"/>
            <w:vAlign w:val="center"/>
          </w:tcPr>
          <w:p w14:paraId="455F7CCC" w14:textId="77777777" w:rsidR="00BB46EB" w:rsidRPr="00993FE0" w:rsidRDefault="00BB46EB" w:rsidP="00593899">
            <w:pPr>
              <w:pStyle w:val="Epgrafe"/>
              <w:rPr>
                <w:rFonts w:eastAsiaTheme="minorHAnsi"/>
                <w:b/>
                <w:caps w:val="0"/>
                <w:sz w:val="18"/>
                <w:szCs w:val="18"/>
                <w:lang w:eastAsia="en-US"/>
              </w:rPr>
            </w:pPr>
            <w:r w:rsidRPr="00993FE0">
              <w:rPr>
                <w:rFonts w:eastAsiaTheme="minorHAnsi"/>
                <w:b/>
                <w:caps w:val="0"/>
                <w:sz w:val="18"/>
                <w:szCs w:val="18"/>
                <w:lang w:eastAsia="en-US"/>
              </w:rPr>
              <w:t>2017</w:t>
            </w:r>
          </w:p>
        </w:tc>
        <w:tc>
          <w:tcPr>
            <w:tcW w:w="817" w:type="pct"/>
            <w:tcBorders>
              <w:top w:val="single" w:sz="4" w:space="0" w:color="auto"/>
              <w:left w:val="single" w:sz="4" w:space="0" w:color="auto"/>
              <w:bottom w:val="single" w:sz="4" w:space="0" w:color="auto"/>
              <w:right w:val="single" w:sz="4" w:space="0" w:color="auto"/>
            </w:tcBorders>
            <w:shd w:val="clear" w:color="000000" w:fill="F2F2F2"/>
            <w:vAlign w:val="center"/>
          </w:tcPr>
          <w:p w14:paraId="7B43844F" w14:textId="77777777" w:rsidR="00BB46EB" w:rsidRPr="00993FE0" w:rsidRDefault="00BB46EB" w:rsidP="00593899">
            <w:pPr>
              <w:pStyle w:val="Epgrafe"/>
              <w:rPr>
                <w:rFonts w:eastAsiaTheme="minorHAnsi"/>
                <w:b/>
                <w:caps w:val="0"/>
                <w:sz w:val="18"/>
                <w:szCs w:val="18"/>
                <w:lang w:eastAsia="en-US"/>
              </w:rPr>
            </w:pPr>
            <w:r w:rsidRPr="00993FE0">
              <w:rPr>
                <w:rFonts w:eastAsiaTheme="minorHAnsi"/>
                <w:b/>
                <w:caps w:val="0"/>
                <w:sz w:val="18"/>
                <w:szCs w:val="18"/>
                <w:lang w:eastAsia="en-US"/>
              </w:rPr>
              <w:t>2018</w:t>
            </w:r>
          </w:p>
        </w:tc>
      </w:tr>
      <w:tr w:rsidR="00BB46EB" w:rsidRPr="00993FE0" w14:paraId="3020F8EB" w14:textId="77777777" w:rsidTr="00593899">
        <w:trPr>
          <w:trHeight w:val="53"/>
        </w:trPr>
        <w:tc>
          <w:tcPr>
            <w:tcW w:w="9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0B61B4"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Outras despesas correntes</w:t>
            </w:r>
          </w:p>
        </w:tc>
        <w:tc>
          <w:tcPr>
            <w:tcW w:w="816" w:type="pct"/>
            <w:tcBorders>
              <w:top w:val="single" w:sz="4" w:space="0" w:color="auto"/>
              <w:left w:val="single" w:sz="4" w:space="0" w:color="auto"/>
              <w:bottom w:val="single" w:sz="4" w:space="0" w:color="auto"/>
              <w:right w:val="single" w:sz="4" w:space="0" w:color="auto"/>
            </w:tcBorders>
            <w:vAlign w:val="center"/>
          </w:tcPr>
          <w:p w14:paraId="55AFFCAC"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5.863.336,34</w:t>
            </w:r>
          </w:p>
        </w:tc>
        <w:tc>
          <w:tcPr>
            <w:tcW w:w="817" w:type="pct"/>
            <w:tcBorders>
              <w:top w:val="single" w:sz="4" w:space="0" w:color="auto"/>
              <w:left w:val="single" w:sz="4" w:space="0" w:color="auto"/>
              <w:bottom w:val="single" w:sz="4" w:space="0" w:color="auto"/>
              <w:right w:val="single" w:sz="4" w:space="0" w:color="auto"/>
            </w:tcBorders>
            <w:vAlign w:val="center"/>
          </w:tcPr>
          <w:p w14:paraId="5B7D3ADC"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R$ 1.983.652,11</w:t>
            </w:r>
          </w:p>
        </w:tc>
        <w:tc>
          <w:tcPr>
            <w:tcW w:w="817" w:type="pct"/>
            <w:tcBorders>
              <w:top w:val="single" w:sz="4" w:space="0" w:color="auto"/>
              <w:left w:val="single" w:sz="4" w:space="0" w:color="auto"/>
              <w:bottom w:val="single" w:sz="4" w:space="0" w:color="auto"/>
              <w:right w:val="single" w:sz="4" w:space="0" w:color="auto"/>
            </w:tcBorders>
            <w:vAlign w:val="center"/>
          </w:tcPr>
          <w:p w14:paraId="6E47E4BC"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R$ 6.238.080,25</w:t>
            </w:r>
          </w:p>
        </w:tc>
        <w:tc>
          <w:tcPr>
            <w:tcW w:w="817" w:type="pct"/>
            <w:tcBorders>
              <w:top w:val="single" w:sz="4" w:space="0" w:color="auto"/>
              <w:left w:val="single" w:sz="4" w:space="0" w:color="auto"/>
              <w:bottom w:val="single" w:sz="4" w:space="0" w:color="auto"/>
              <w:right w:val="single" w:sz="4" w:space="0" w:color="auto"/>
            </w:tcBorders>
            <w:vAlign w:val="center"/>
          </w:tcPr>
          <w:p w14:paraId="571EDFD4"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R$ 637.584,00</w:t>
            </w:r>
          </w:p>
        </w:tc>
        <w:tc>
          <w:tcPr>
            <w:tcW w:w="817" w:type="pct"/>
            <w:tcBorders>
              <w:top w:val="single" w:sz="4" w:space="0" w:color="auto"/>
              <w:left w:val="single" w:sz="4" w:space="0" w:color="auto"/>
              <w:bottom w:val="single" w:sz="4" w:space="0" w:color="auto"/>
              <w:right w:val="single" w:sz="4" w:space="0" w:color="auto"/>
            </w:tcBorders>
            <w:shd w:val="clear" w:color="auto" w:fill="FFFFFF"/>
            <w:vAlign w:val="center"/>
          </w:tcPr>
          <w:p w14:paraId="567DB8A2" w14:textId="77777777" w:rsidR="00BB46EB" w:rsidRPr="00993FE0" w:rsidRDefault="00BB46EB" w:rsidP="00593899">
            <w:pPr>
              <w:pStyle w:val="Default"/>
              <w:jc w:val="center"/>
              <w:rPr>
                <w:rFonts w:eastAsiaTheme="minorHAnsi"/>
                <w:color w:val="auto"/>
                <w:sz w:val="18"/>
                <w:szCs w:val="18"/>
                <w:lang w:eastAsia="en-US"/>
              </w:rPr>
            </w:pPr>
            <w:r w:rsidRPr="00993FE0">
              <w:rPr>
                <w:rFonts w:eastAsiaTheme="minorHAnsi"/>
                <w:color w:val="auto"/>
                <w:sz w:val="18"/>
                <w:szCs w:val="18"/>
                <w:lang w:eastAsia="en-US"/>
              </w:rPr>
              <w:t>R$ 4.270,80</w:t>
            </w:r>
          </w:p>
        </w:tc>
      </w:tr>
      <w:tr w:rsidR="00BB46EB" w:rsidRPr="00993FE0" w14:paraId="0C1239B3" w14:textId="77777777" w:rsidTr="00593899">
        <w:trPr>
          <w:trHeight w:val="53"/>
        </w:trPr>
        <w:tc>
          <w:tcPr>
            <w:tcW w:w="9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FA0F95"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Investimento</w:t>
            </w:r>
          </w:p>
        </w:tc>
        <w:tc>
          <w:tcPr>
            <w:tcW w:w="816" w:type="pct"/>
            <w:tcBorders>
              <w:top w:val="single" w:sz="4" w:space="0" w:color="auto"/>
              <w:left w:val="single" w:sz="4" w:space="0" w:color="auto"/>
              <w:bottom w:val="single" w:sz="4" w:space="0" w:color="auto"/>
              <w:right w:val="single" w:sz="4" w:space="0" w:color="auto"/>
            </w:tcBorders>
            <w:vAlign w:val="center"/>
          </w:tcPr>
          <w:p w14:paraId="4334BA85"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1.999.960,76</w:t>
            </w:r>
          </w:p>
        </w:tc>
        <w:tc>
          <w:tcPr>
            <w:tcW w:w="817" w:type="pct"/>
            <w:tcBorders>
              <w:top w:val="single" w:sz="4" w:space="0" w:color="auto"/>
              <w:left w:val="single" w:sz="4" w:space="0" w:color="auto"/>
              <w:bottom w:val="single" w:sz="4" w:space="0" w:color="auto"/>
              <w:right w:val="single" w:sz="4" w:space="0" w:color="auto"/>
            </w:tcBorders>
            <w:vAlign w:val="center"/>
          </w:tcPr>
          <w:p w14:paraId="58E44FAA"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R$ 237.188,18</w:t>
            </w:r>
          </w:p>
        </w:tc>
        <w:tc>
          <w:tcPr>
            <w:tcW w:w="817" w:type="pct"/>
            <w:tcBorders>
              <w:top w:val="single" w:sz="4" w:space="0" w:color="auto"/>
              <w:left w:val="single" w:sz="4" w:space="0" w:color="auto"/>
              <w:bottom w:val="single" w:sz="4" w:space="0" w:color="auto"/>
              <w:right w:val="single" w:sz="4" w:space="0" w:color="auto"/>
            </w:tcBorders>
            <w:vAlign w:val="center"/>
          </w:tcPr>
          <w:p w14:paraId="49D1144F"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R$ 4.746.762,06</w:t>
            </w:r>
          </w:p>
        </w:tc>
        <w:tc>
          <w:tcPr>
            <w:tcW w:w="817" w:type="pct"/>
            <w:tcBorders>
              <w:top w:val="single" w:sz="4" w:space="0" w:color="auto"/>
              <w:left w:val="single" w:sz="4" w:space="0" w:color="auto"/>
              <w:bottom w:val="single" w:sz="4" w:space="0" w:color="auto"/>
              <w:right w:val="single" w:sz="4" w:space="0" w:color="auto"/>
            </w:tcBorders>
            <w:vAlign w:val="center"/>
          </w:tcPr>
          <w:p w14:paraId="7504F596" w14:textId="77777777" w:rsidR="00BB46EB" w:rsidRPr="00993FE0" w:rsidRDefault="00BB46EB" w:rsidP="00593899">
            <w:pPr>
              <w:pStyle w:val="Epgrafe"/>
              <w:rPr>
                <w:rFonts w:eastAsiaTheme="minorHAnsi"/>
                <w:caps w:val="0"/>
                <w:sz w:val="18"/>
                <w:szCs w:val="18"/>
                <w:lang w:eastAsia="en-US"/>
              </w:rPr>
            </w:pPr>
            <w:r w:rsidRPr="00993FE0">
              <w:rPr>
                <w:rFonts w:eastAsiaTheme="minorHAnsi"/>
                <w:caps w:val="0"/>
                <w:sz w:val="18"/>
                <w:szCs w:val="18"/>
                <w:lang w:eastAsia="en-US"/>
              </w:rPr>
              <w:t>R$ 5.094.710,48</w:t>
            </w:r>
          </w:p>
        </w:tc>
        <w:tc>
          <w:tcPr>
            <w:tcW w:w="817" w:type="pct"/>
            <w:tcBorders>
              <w:top w:val="single" w:sz="4" w:space="0" w:color="auto"/>
              <w:left w:val="single" w:sz="4" w:space="0" w:color="auto"/>
              <w:bottom w:val="single" w:sz="4" w:space="0" w:color="auto"/>
              <w:right w:val="single" w:sz="4" w:space="0" w:color="auto"/>
            </w:tcBorders>
            <w:vAlign w:val="center"/>
          </w:tcPr>
          <w:p w14:paraId="5A4E61FE" w14:textId="77777777" w:rsidR="00BB46EB" w:rsidRPr="00993FE0" w:rsidRDefault="00BB46EB" w:rsidP="00593899">
            <w:pPr>
              <w:pStyle w:val="Default"/>
              <w:jc w:val="center"/>
              <w:rPr>
                <w:rFonts w:eastAsiaTheme="minorHAnsi"/>
                <w:color w:val="auto"/>
                <w:sz w:val="18"/>
                <w:szCs w:val="18"/>
                <w:lang w:eastAsia="en-US"/>
              </w:rPr>
            </w:pPr>
            <w:r w:rsidRPr="00993FE0">
              <w:rPr>
                <w:rFonts w:eastAsiaTheme="minorHAnsi"/>
                <w:color w:val="auto"/>
                <w:sz w:val="18"/>
                <w:szCs w:val="18"/>
                <w:lang w:eastAsia="en-US"/>
              </w:rPr>
              <w:t>R$ 6.743.206,34</w:t>
            </w:r>
          </w:p>
        </w:tc>
      </w:tr>
      <w:tr w:rsidR="00BB46EB" w:rsidRPr="00993FE0" w14:paraId="5C2EDACA" w14:textId="77777777" w:rsidTr="00593899">
        <w:trPr>
          <w:trHeight w:val="53"/>
        </w:trPr>
        <w:tc>
          <w:tcPr>
            <w:tcW w:w="915" w:type="pct"/>
            <w:tcBorders>
              <w:top w:val="single" w:sz="4" w:space="0" w:color="auto"/>
              <w:left w:val="single" w:sz="4" w:space="0" w:color="auto"/>
              <w:bottom w:val="single" w:sz="4" w:space="0" w:color="auto"/>
              <w:right w:val="single" w:sz="4" w:space="0" w:color="auto"/>
            </w:tcBorders>
            <w:shd w:val="clear" w:color="000000" w:fill="FFFFFF"/>
            <w:vAlign w:val="center"/>
          </w:tcPr>
          <w:p w14:paraId="323C3523" w14:textId="77777777" w:rsidR="00BB46EB" w:rsidRPr="00993FE0" w:rsidRDefault="00BB46EB" w:rsidP="00593899">
            <w:pPr>
              <w:pStyle w:val="Epgrafe"/>
              <w:rPr>
                <w:rFonts w:eastAsiaTheme="minorHAnsi"/>
                <w:b/>
                <w:caps w:val="0"/>
                <w:sz w:val="18"/>
                <w:szCs w:val="18"/>
                <w:lang w:eastAsia="en-US"/>
              </w:rPr>
            </w:pPr>
            <w:r w:rsidRPr="00993FE0">
              <w:rPr>
                <w:rFonts w:eastAsiaTheme="minorHAnsi"/>
                <w:b/>
                <w:caps w:val="0"/>
                <w:sz w:val="18"/>
                <w:szCs w:val="18"/>
                <w:lang w:eastAsia="en-US"/>
              </w:rPr>
              <w:t xml:space="preserve">Total </w:t>
            </w:r>
          </w:p>
        </w:tc>
        <w:tc>
          <w:tcPr>
            <w:tcW w:w="816" w:type="pct"/>
            <w:tcBorders>
              <w:top w:val="single" w:sz="4" w:space="0" w:color="auto"/>
              <w:left w:val="single" w:sz="4" w:space="0" w:color="auto"/>
              <w:bottom w:val="single" w:sz="4" w:space="0" w:color="auto"/>
              <w:right w:val="single" w:sz="4" w:space="0" w:color="auto"/>
            </w:tcBorders>
            <w:shd w:val="clear" w:color="auto" w:fill="FFFFFF"/>
            <w:vAlign w:val="center"/>
          </w:tcPr>
          <w:p w14:paraId="4ACF4087" w14:textId="77777777" w:rsidR="00BB46EB" w:rsidRPr="00993FE0" w:rsidRDefault="00BB46EB" w:rsidP="00593899">
            <w:pPr>
              <w:jc w:val="center"/>
              <w:rPr>
                <w:b/>
                <w:bCs/>
                <w:color w:val="000000"/>
                <w:sz w:val="18"/>
                <w:szCs w:val="18"/>
              </w:rPr>
            </w:pPr>
            <w:r w:rsidRPr="00993FE0">
              <w:rPr>
                <w:b/>
                <w:bCs/>
                <w:color w:val="000000"/>
                <w:sz w:val="18"/>
                <w:szCs w:val="18"/>
              </w:rPr>
              <w:t>7.863.297,10</w:t>
            </w:r>
          </w:p>
        </w:tc>
        <w:tc>
          <w:tcPr>
            <w:tcW w:w="817" w:type="pct"/>
            <w:tcBorders>
              <w:top w:val="single" w:sz="4" w:space="0" w:color="auto"/>
              <w:left w:val="single" w:sz="4" w:space="0" w:color="auto"/>
              <w:bottom w:val="single" w:sz="4" w:space="0" w:color="auto"/>
              <w:right w:val="single" w:sz="4" w:space="0" w:color="auto"/>
            </w:tcBorders>
            <w:shd w:val="clear" w:color="auto" w:fill="FFFFFF"/>
            <w:vAlign w:val="center"/>
          </w:tcPr>
          <w:p w14:paraId="0BEB5975" w14:textId="77777777" w:rsidR="00BB46EB" w:rsidRPr="00993FE0" w:rsidRDefault="00BB46EB" w:rsidP="00593899">
            <w:pPr>
              <w:jc w:val="center"/>
              <w:rPr>
                <w:b/>
                <w:bCs/>
                <w:color w:val="000000"/>
                <w:sz w:val="18"/>
                <w:szCs w:val="18"/>
              </w:rPr>
            </w:pPr>
            <w:r w:rsidRPr="00993FE0">
              <w:rPr>
                <w:b/>
                <w:bCs/>
                <w:color w:val="000000"/>
                <w:sz w:val="18"/>
                <w:szCs w:val="18"/>
              </w:rPr>
              <w:t>R$2.220.840,29</w:t>
            </w:r>
          </w:p>
        </w:tc>
        <w:tc>
          <w:tcPr>
            <w:tcW w:w="817" w:type="pct"/>
            <w:tcBorders>
              <w:top w:val="single" w:sz="4" w:space="0" w:color="auto"/>
              <w:left w:val="single" w:sz="4" w:space="0" w:color="auto"/>
              <w:bottom w:val="single" w:sz="4" w:space="0" w:color="auto"/>
              <w:right w:val="single" w:sz="4" w:space="0" w:color="auto"/>
            </w:tcBorders>
            <w:shd w:val="clear" w:color="auto" w:fill="FFFFFF"/>
            <w:vAlign w:val="center"/>
          </w:tcPr>
          <w:p w14:paraId="5ED38BE2" w14:textId="77777777" w:rsidR="00BB46EB" w:rsidRPr="00993FE0" w:rsidRDefault="00BB46EB" w:rsidP="00593899">
            <w:pPr>
              <w:jc w:val="center"/>
              <w:rPr>
                <w:b/>
                <w:bCs/>
                <w:color w:val="000000"/>
                <w:sz w:val="18"/>
                <w:szCs w:val="18"/>
              </w:rPr>
            </w:pPr>
            <w:r w:rsidRPr="00993FE0">
              <w:rPr>
                <w:b/>
                <w:bCs/>
                <w:color w:val="000000"/>
                <w:sz w:val="18"/>
                <w:szCs w:val="18"/>
              </w:rPr>
              <w:t>R$10.984.842,31</w:t>
            </w:r>
          </w:p>
        </w:tc>
        <w:tc>
          <w:tcPr>
            <w:tcW w:w="817" w:type="pct"/>
            <w:tcBorders>
              <w:top w:val="single" w:sz="4" w:space="0" w:color="auto"/>
              <w:left w:val="single" w:sz="4" w:space="0" w:color="auto"/>
              <w:bottom w:val="single" w:sz="4" w:space="0" w:color="auto"/>
              <w:right w:val="single" w:sz="4" w:space="0" w:color="auto"/>
            </w:tcBorders>
            <w:shd w:val="clear" w:color="auto" w:fill="FFFFFF"/>
            <w:vAlign w:val="center"/>
          </w:tcPr>
          <w:p w14:paraId="74AA47A6" w14:textId="77777777" w:rsidR="00BB46EB" w:rsidRPr="00993FE0" w:rsidRDefault="00BB46EB" w:rsidP="00593899">
            <w:pPr>
              <w:jc w:val="center"/>
              <w:rPr>
                <w:b/>
                <w:bCs/>
                <w:color w:val="000000"/>
                <w:sz w:val="18"/>
                <w:szCs w:val="18"/>
              </w:rPr>
            </w:pPr>
            <w:r w:rsidRPr="00993FE0">
              <w:rPr>
                <w:b/>
                <w:bCs/>
                <w:color w:val="000000"/>
                <w:sz w:val="18"/>
                <w:szCs w:val="18"/>
              </w:rPr>
              <w:t>R$5.732.294,48</w:t>
            </w:r>
          </w:p>
        </w:tc>
        <w:tc>
          <w:tcPr>
            <w:tcW w:w="817" w:type="pct"/>
            <w:tcBorders>
              <w:top w:val="single" w:sz="4" w:space="0" w:color="auto"/>
              <w:left w:val="single" w:sz="4" w:space="0" w:color="auto"/>
              <w:bottom w:val="single" w:sz="4" w:space="0" w:color="auto"/>
              <w:right w:val="single" w:sz="4" w:space="0" w:color="auto"/>
            </w:tcBorders>
            <w:shd w:val="clear" w:color="auto" w:fill="FFFFFF"/>
            <w:vAlign w:val="center"/>
          </w:tcPr>
          <w:p w14:paraId="438B9062" w14:textId="77777777" w:rsidR="00BB46EB" w:rsidRPr="00993FE0" w:rsidRDefault="00BB46EB" w:rsidP="00593899">
            <w:pPr>
              <w:jc w:val="center"/>
              <w:rPr>
                <w:b/>
                <w:bCs/>
                <w:sz w:val="18"/>
                <w:szCs w:val="18"/>
              </w:rPr>
            </w:pPr>
            <w:r w:rsidRPr="00993FE0">
              <w:rPr>
                <w:b/>
                <w:bCs/>
                <w:sz w:val="18"/>
                <w:szCs w:val="18"/>
              </w:rPr>
              <w:t>R$6.747.477,14</w:t>
            </w:r>
          </w:p>
        </w:tc>
      </w:tr>
    </w:tbl>
    <w:p w14:paraId="0C8C5366" w14:textId="77777777" w:rsidR="00BB46EB" w:rsidRDefault="00BB46EB" w:rsidP="00BB46EB">
      <w:pPr>
        <w:jc w:val="both"/>
      </w:pPr>
    </w:p>
    <w:p w14:paraId="7E6825A0" w14:textId="77777777" w:rsidR="00BB46EB" w:rsidRDefault="00BB46EB" w:rsidP="00BB46EB">
      <w:pPr>
        <w:jc w:val="both"/>
      </w:pPr>
      <w:r>
        <w:t xml:space="preserve">A elaboração da projeção dos recursos orçamentários que poderão ser aportados ao </w:t>
      </w:r>
      <w:proofErr w:type="spellStart"/>
      <w:r>
        <w:t>IFSul</w:t>
      </w:r>
      <w:proofErr w:type="spellEnd"/>
      <w:r>
        <w:t xml:space="preserve">, oriundos das Leis Orçamentárias Anuais vindouras, no período que compreende a vigência deste PDI 2020-2024, para o funcionamento e a manutenção do ensino, bem como os investimentos que se façam necessários, utilizou a seguinte metodologia: </w:t>
      </w:r>
    </w:p>
    <w:p w14:paraId="7C786674" w14:textId="77777777" w:rsidR="00BB46EB" w:rsidRDefault="00BB46EB" w:rsidP="00BB46EB">
      <w:pPr>
        <w:jc w:val="both"/>
      </w:pPr>
    </w:p>
    <w:p w14:paraId="31FF6FBF" w14:textId="77777777" w:rsidR="00BB46EB" w:rsidRPr="00DC63F8" w:rsidRDefault="00BB46EB" w:rsidP="00BB46EB">
      <w:pPr>
        <w:pStyle w:val="PargrafodaLista"/>
        <w:numPr>
          <w:ilvl w:val="0"/>
          <w:numId w:val="1"/>
        </w:numPr>
        <w:jc w:val="both"/>
        <w:rPr>
          <w:rFonts w:ascii="Times New Roman" w:hAnsi="Times New Roman" w:cs="Times New Roman"/>
          <w:sz w:val="24"/>
        </w:rPr>
      </w:pPr>
      <w:r w:rsidRPr="00DC63F8">
        <w:rPr>
          <w:rFonts w:ascii="Times New Roman" w:hAnsi="Times New Roman" w:cs="Times New Roman"/>
          <w:sz w:val="24"/>
        </w:rPr>
        <w:t xml:space="preserve">PLOA 2019 – PL 27/2018 – CN; </w:t>
      </w:r>
    </w:p>
    <w:p w14:paraId="2F6EB2C0" w14:textId="77777777" w:rsidR="00BB46EB" w:rsidRPr="00DC63F8" w:rsidRDefault="00BB46EB" w:rsidP="00BB46EB">
      <w:pPr>
        <w:pStyle w:val="PargrafodaLista"/>
        <w:numPr>
          <w:ilvl w:val="0"/>
          <w:numId w:val="1"/>
        </w:numPr>
        <w:jc w:val="both"/>
        <w:rPr>
          <w:rFonts w:ascii="Times New Roman" w:hAnsi="Times New Roman" w:cs="Times New Roman"/>
          <w:sz w:val="24"/>
        </w:rPr>
      </w:pPr>
      <w:r w:rsidRPr="00DC63F8">
        <w:rPr>
          <w:rFonts w:ascii="Times New Roman" w:hAnsi="Times New Roman" w:cs="Times New Roman"/>
          <w:sz w:val="24"/>
        </w:rPr>
        <w:t>As variações médias identificadas, através do histórico do orçamento recebido, e aplicados os percentuais resultantes ao exercício posterior, sendo como base o exercício anterior para aplicação da taxa.</w:t>
      </w:r>
    </w:p>
    <w:p w14:paraId="4EC3BF41" w14:textId="100A0C73" w:rsidR="0011542E" w:rsidRDefault="00BB46EB" w:rsidP="00BB46EB">
      <w:pPr>
        <w:jc w:val="both"/>
      </w:pPr>
      <w:r>
        <w:t xml:space="preserve">Quadro XX – Projeção dos recursos orçamentários que poderão ser aportados ao </w:t>
      </w:r>
      <w:proofErr w:type="spellStart"/>
      <w:r>
        <w:t>IFSul</w:t>
      </w:r>
      <w:proofErr w:type="spellEnd"/>
      <w:r>
        <w:t xml:space="preserve"> no período 2020-2024</w:t>
      </w:r>
    </w:p>
    <w:tbl>
      <w:tblPr>
        <w:tblW w:w="5000" w:type="pct"/>
        <w:tblLayout w:type="fixed"/>
        <w:tblCellMar>
          <w:left w:w="70" w:type="dxa"/>
          <w:right w:w="70" w:type="dxa"/>
        </w:tblCellMar>
        <w:tblLook w:val="04A0" w:firstRow="1" w:lastRow="0" w:firstColumn="1" w:lastColumn="0" w:noHBand="0" w:noVBand="1"/>
      </w:tblPr>
      <w:tblGrid>
        <w:gridCol w:w="1413"/>
        <w:gridCol w:w="1417"/>
        <w:gridCol w:w="1417"/>
        <w:gridCol w:w="1417"/>
        <w:gridCol w:w="1417"/>
        <w:gridCol w:w="1413"/>
      </w:tblGrid>
      <w:tr w:rsidR="0011542E" w:rsidRPr="00993FE0" w14:paraId="23336DCA" w14:textId="77777777" w:rsidTr="0011542E">
        <w:trPr>
          <w:trHeight w:val="288"/>
        </w:trPr>
        <w:tc>
          <w:tcPr>
            <w:tcW w:w="83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8528525" w14:textId="60D5A4BA" w:rsidR="0011542E" w:rsidRPr="00993FE0" w:rsidRDefault="0011542E" w:rsidP="00593899">
            <w:pPr>
              <w:pStyle w:val="Epgrafe"/>
              <w:rPr>
                <w:rFonts w:eastAsiaTheme="minorHAnsi"/>
                <w:b/>
                <w:caps w:val="0"/>
                <w:sz w:val="17"/>
                <w:szCs w:val="17"/>
                <w:lang w:eastAsia="en-US"/>
              </w:rPr>
            </w:pPr>
            <w:r>
              <w:rPr>
                <w:rFonts w:eastAsiaTheme="minorHAnsi"/>
                <w:b/>
                <w:caps w:val="0"/>
                <w:sz w:val="17"/>
                <w:szCs w:val="17"/>
                <w:lang w:eastAsia="en-US"/>
              </w:rPr>
              <w:t>Categorias de orçamento</w:t>
            </w:r>
          </w:p>
        </w:tc>
        <w:tc>
          <w:tcPr>
            <w:tcW w:w="834"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0CA9E27" w14:textId="213A4150" w:rsidR="0011542E" w:rsidRPr="0011542E" w:rsidRDefault="0011542E" w:rsidP="0011542E">
            <w:pPr>
              <w:pStyle w:val="Epgrafe"/>
              <w:rPr>
                <w:rFonts w:eastAsiaTheme="minorHAnsi"/>
                <w:b/>
                <w:caps w:val="0"/>
                <w:sz w:val="17"/>
                <w:szCs w:val="17"/>
                <w:lang w:eastAsia="en-US"/>
              </w:rPr>
            </w:pPr>
            <w:r>
              <w:rPr>
                <w:rFonts w:eastAsiaTheme="minorHAnsi"/>
                <w:b/>
                <w:caps w:val="0"/>
                <w:sz w:val="17"/>
                <w:szCs w:val="17"/>
                <w:lang w:eastAsia="en-US"/>
              </w:rPr>
              <w:t>2020</w:t>
            </w:r>
          </w:p>
        </w:tc>
        <w:tc>
          <w:tcPr>
            <w:tcW w:w="834"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822237A" w14:textId="52E853E8" w:rsidR="0011542E" w:rsidRPr="0011542E" w:rsidRDefault="0011542E" w:rsidP="0011542E">
            <w:pPr>
              <w:pStyle w:val="Epgrafe"/>
              <w:rPr>
                <w:rFonts w:eastAsiaTheme="minorHAnsi"/>
                <w:b/>
                <w:caps w:val="0"/>
                <w:sz w:val="17"/>
                <w:szCs w:val="17"/>
                <w:lang w:eastAsia="en-US"/>
              </w:rPr>
            </w:pPr>
            <w:r>
              <w:rPr>
                <w:rFonts w:eastAsiaTheme="minorHAnsi"/>
                <w:b/>
                <w:caps w:val="0"/>
                <w:sz w:val="17"/>
                <w:szCs w:val="17"/>
                <w:lang w:eastAsia="en-US"/>
              </w:rPr>
              <w:t>2021</w:t>
            </w:r>
          </w:p>
        </w:tc>
        <w:tc>
          <w:tcPr>
            <w:tcW w:w="834"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B7A29D" w14:textId="35E7CDD0" w:rsidR="0011542E" w:rsidRPr="0011542E" w:rsidRDefault="0011542E" w:rsidP="0011542E">
            <w:pPr>
              <w:pStyle w:val="Epgrafe"/>
              <w:rPr>
                <w:rFonts w:eastAsiaTheme="minorHAnsi"/>
                <w:b/>
                <w:caps w:val="0"/>
                <w:sz w:val="17"/>
                <w:szCs w:val="17"/>
                <w:lang w:eastAsia="en-US"/>
              </w:rPr>
            </w:pPr>
            <w:r>
              <w:rPr>
                <w:rFonts w:eastAsiaTheme="minorHAnsi"/>
                <w:b/>
                <w:caps w:val="0"/>
                <w:sz w:val="17"/>
                <w:szCs w:val="17"/>
                <w:lang w:eastAsia="en-US"/>
              </w:rPr>
              <w:t>2022</w:t>
            </w:r>
          </w:p>
        </w:tc>
        <w:tc>
          <w:tcPr>
            <w:tcW w:w="834"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FE629B7" w14:textId="18CF78EF" w:rsidR="0011542E" w:rsidRPr="0011542E" w:rsidRDefault="0011542E" w:rsidP="0011542E">
            <w:pPr>
              <w:pStyle w:val="Epgrafe"/>
              <w:rPr>
                <w:rFonts w:eastAsiaTheme="minorHAnsi"/>
                <w:b/>
                <w:caps w:val="0"/>
                <w:sz w:val="17"/>
                <w:szCs w:val="17"/>
                <w:lang w:eastAsia="en-US"/>
              </w:rPr>
            </w:pPr>
            <w:r>
              <w:rPr>
                <w:rFonts w:eastAsiaTheme="minorHAnsi"/>
                <w:b/>
                <w:caps w:val="0"/>
                <w:sz w:val="17"/>
                <w:szCs w:val="17"/>
                <w:lang w:eastAsia="en-US"/>
              </w:rPr>
              <w:t>2023</w:t>
            </w:r>
          </w:p>
        </w:tc>
        <w:tc>
          <w:tcPr>
            <w:tcW w:w="834"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BDB32A9" w14:textId="6A5F3087" w:rsidR="0011542E" w:rsidRPr="0011542E" w:rsidRDefault="0011542E" w:rsidP="0011542E">
            <w:pPr>
              <w:pStyle w:val="Epgrafe"/>
              <w:rPr>
                <w:rFonts w:eastAsiaTheme="minorHAnsi"/>
                <w:b/>
                <w:caps w:val="0"/>
                <w:sz w:val="17"/>
                <w:szCs w:val="17"/>
                <w:lang w:eastAsia="en-US"/>
              </w:rPr>
            </w:pPr>
            <w:r>
              <w:rPr>
                <w:rFonts w:eastAsiaTheme="minorHAnsi"/>
                <w:b/>
                <w:caps w:val="0"/>
                <w:sz w:val="17"/>
                <w:szCs w:val="17"/>
                <w:lang w:eastAsia="en-US"/>
              </w:rPr>
              <w:t>2024</w:t>
            </w:r>
          </w:p>
        </w:tc>
      </w:tr>
      <w:tr w:rsidR="00BB46EB" w:rsidRPr="00993FE0" w14:paraId="632DC2B9" w14:textId="77777777" w:rsidTr="0011542E">
        <w:trPr>
          <w:trHeight w:val="288"/>
        </w:trPr>
        <w:tc>
          <w:tcPr>
            <w:tcW w:w="83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5803CA" w14:textId="77777777" w:rsidR="00BB46EB" w:rsidRPr="00993FE0" w:rsidRDefault="00BB46EB" w:rsidP="0011542E">
            <w:pPr>
              <w:pStyle w:val="Epgrafe"/>
              <w:rPr>
                <w:rFonts w:eastAsiaTheme="minorHAnsi"/>
                <w:b/>
                <w:caps w:val="0"/>
                <w:sz w:val="17"/>
                <w:szCs w:val="17"/>
                <w:lang w:eastAsia="en-US"/>
              </w:rPr>
            </w:pPr>
            <w:r w:rsidRPr="00993FE0">
              <w:rPr>
                <w:rFonts w:eastAsiaTheme="minorHAnsi"/>
                <w:b/>
                <w:caps w:val="0"/>
                <w:sz w:val="17"/>
                <w:szCs w:val="17"/>
                <w:lang w:eastAsia="en-US"/>
              </w:rPr>
              <w:t>Pessoal e encargos sociais</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34965698" w14:textId="77777777" w:rsidR="00BB46EB" w:rsidRPr="00993FE0" w:rsidRDefault="00BB46EB" w:rsidP="00593899">
            <w:pPr>
              <w:jc w:val="center"/>
              <w:rPr>
                <w:sz w:val="17"/>
                <w:szCs w:val="17"/>
              </w:rPr>
            </w:pPr>
            <w:r w:rsidRPr="00993FE0">
              <w:rPr>
                <w:sz w:val="17"/>
                <w:szCs w:val="17"/>
              </w:rPr>
              <w:t>R$363.776.983,02</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0684C297" w14:textId="77777777" w:rsidR="00BB46EB" w:rsidRPr="00993FE0" w:rsidRDefault="00BB46EB" w:rsidP="00593899">
            <w:pPr>
              <w:jc w:val="center"/>
              <w:rPr>
                <w:sz w:val="17"/>
                <w:szCs w:val="17"/>
              </w:rPr>
            </w:pPr>
            <w:r w:rsidRPr="00993FE0">
              <w:rPr>
                <w:sz w:val="17"/>
                <w:szCs w:val="17"/>
              </w:rPr>
              <w:t>R$371.052.522,68</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2E29C544" w14:textId="77777777" w:rsidR="00BB46EB" w:rsidRPr="00993FE0" w:rsidRDefault="00BB46EB" w:rsidP="00593899">
            <w:pPr>
              <w:jc w:val="center"/>
              <w:rPr>
                <w:sz w:val="17"/>
                <w:szCs w:val="17"/>
              </w:rPr>
            </w:pPr>
            <w:r w:rsidRPr="00993FE0">
              <w:rPr>
                <w:sz w:val="17"/>
                <w:szCs w:val="17"/>
              </w:rPr>
              <w:t>R$378.473.573,13</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13819434" w14:textId="77777777" w:rsidR="00BB46EB" w:rsidRPr="00993FE0" w:rsidRDefault="00BB46EB" w:rsidP="00593899">
            <w:pPr>
              <w:jc w:val="center"/>
              <w:rPr>
                <w:sz w:val="17"/>
                <w:szCs w:val="17"/>
              </w:rPr>
            </w:pPr>
            <w:r w:rsidRPr="00993FE0">
              <w:rPr>
                <w:sz w:val="17"/>
                <w:szCs w:val="17"/>
              </w:rPr>
              <w:t>R$386.043.044,60</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6D1F41D7" w14:textId="77777777" w:rsidR="00BB46EB" w:rsidRPr="00993FE0" w:rsidRDefault="00BB46EB" w:rsidP="00593899">
            <w:pPr>
              <w:jc w:val="center"/>
              <w:rPr>
                <w:sz w:val="17"/>
                <w:szCs w:val="17"/>
              </w:rPr>
            </w:pPr>
            <w:r w:rsidRPr="00993FE0">
              <w:rPr>
                <w:sz w:val="17"/>
                <w:szCs w:val="17"/>
              </w:rPr>
              <w:t>R$393.763.905,49</w:t>
            </w:r>
          </w:p>
        </w:tc>
      </w:tr>
      <w:tr w:rsidR="00BB46EB" w:rsidRPr="00993FE0" w14:paraId="412CF7D9" w14:textId="77777777" w:rsidTr="0011542E">
        <w:trPr>
          <w:trHeight w:val="288"/>
        </w:trPr>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942984" w14:textId="77777777" w:rsidR="00BB46EB" w:rsidRPr="00993FE0" w:rsidRDefault="00BB46EB" w:rsidP="0011542E">
            <w:pPr>
              <w:pStyle w:val="Epgrafe"/>
              <w:rPr>
                <w:rFonts w:eastAsiaTheme="minorHAnsi"/>
                <w:b/>
                <w:caps w:val="0"/>
                <w:sz w:val="17"/>
                <w:szCs w:val="17"/>
                <w:lang w:eastAsia="en-US"/>
              </w:rPr>
            </w:pPr>
            <w:r w:rsidRPr="00993FE0">
              <w:rPr>
                <w:rFonts w:eastAsiaTheme="minorHAnsi"/>
                <w:b/>
                <w:caps w:val="0"/>
                <w:sz w:val="17"/>
                <w:szCs w:val="17"/>
                <w:lang w:eastAsia="en-US"/>
              </w:rPr>
              <w:t>Outras despesas correntes</w:t>
            </w:r>
          </w:p>
        </w:tc>
        <w:tc>
          <w:tcPr>
            <w:tcW w:w="834" w:type="pct"/>
            <w:tcBorders>
              <w:top w:val="nil"/>
              <w:left w:val="nil"/>
              <w:bottom w:val="single" w:sz="4" w:space="0" w:color="auto"/>
              <w:right w:val="single" w:sz="4" w:space="0" w:color="auto"/>
            </w:tcBorders>
            <w:shd w:val="clear" w:color="auto" w:fill="auto"/>
            <w:noWrap/>
            <w:vAlign w:val="center"/>
            <w:hideMark/>
          </w:tcPr>
          <w:p w14:paraId="6809A5E3" w14:textId="77777777" w:rsidR="00BB46EB" w:rsidRPr="00993FE0" w:rsidRDefault="00BB46EB" w:rsidP="00593899">
            <w:pPr>
              <w:jc w:val="center"/>
              <w:rPr>
                <w:sz w:val="17"/>
                <w:szCs w:val="17"/>
              </w:rPr>
            </w:pPr>
            <w:r w:rsidRPr="00993FE0">
              <w:rPr>
                <w:sz w:val="17"/>
                <w:szCs w:val="17"/>
              </w:rPr>
              <w:t>R$74.621.878,48</w:t>
            </w:r>
          </w:p>
        </w:tc>
        <w:tc>
          <w:tcPr>
            <w:tcW w:w="834" w:type="pct"/>
            <w:tcBorders>
              <w:top w:val="nil"/>
              <w:left w:val="nil"/>
              <w:bottom w:val="single" w:sz="4" w:space="0" w:color="auto"/>
              <w:right w:val="single" w:sz="4" w:space="0" w:color="auto"/>
            </w:tcBorders>
            <w:shd w:val="clear" w:color="auto" w:fill="auto"/>
            <w:noWrap/>
            <w:vAlign w:val="center"/>
            <w:hideMark/>
          </w:tcPr>
          <w:p w14:paraId="552DD5E6" w14:textId="77777777" w:rsidR="00BB46EB" w:rsidRPr="00993FE0" w:rsidRDefault="00BB46EB" w:rsidP="00593899">
            <w:pPr>
              <w:jc w:val="center"/>
              <w:rPr>
                <w:sz w:val="17"/>
                <w:szCs w:val="17"/>
              </w:rPr>
            </w:pPr>
            <w:r w:rsidRPr="00993FE0">
              <w:rPr>
                <w:sz w:val="17"/>
                <w:szCs w:val="17"/>
              </w:rPr>
              <w:t>R$75.368.097,26</w:t>
            </w:r>
          </w:p>
        </w:tc>
        <w:tc>
          <w:tcPr>
            <w:tcW w:w="834" w:type="pct"/>
            <w:tcBorders>
              <w:top w:val="nil"/>
              <w:left w:val="nil"/>
              <w:bottom w:val="single" w:sz="4" w:space="0" w:color="auto"/>
              <w:right w:val="single" w:sz="4" w:space="0" w:color="auto"/>
            </w:tcBorders>
            <w:shd w:val="clear" w:color="auto" w:fill="auto"/>
            <w:noWrap/>
            <w:vAlign w:val="center"/>
            <w:hideMark/>
          </w:tcPr>
          <w:p w14:paraId="5A73A9A0" w14:textId="77777777" w:rsidR="00BB46EB" w:rsidRPr="00993FE0" w:rsidRDefault="00BB46EB" w:rsidP="00593899">
            <w:pPr>
              <w:jc w:val="center"/>
              <w:rPr>
                <w:sz w:val="17"/>
                <w:szCs w:val="17"/>
              </w:rPr>
            </w:pPr>
            <w:r w:rsidRPr="00993FE0">
              <w:rPr>
                <w:sz w:val="17"/>
                <w:szCs w:val="17"/>
              </w:rPr>
              <w:t>R$76.121.778,24</w:t>
            </w:r>
          </w:p>
        </w:tc>
        <w:tc>
          <w:tcPr>
            <w:tcW w:w="834" w:type="pct"/>
            <w:tcBorders>
              <w:top w:val="nil"/>
              <w:left w:val="nil"/>
              <w:bottom w:val="single" w:sz="4" w:space="0" w:color="auto"/>
              <w:right w:val="single" w:sz="4" w:space="0" w:color="auto"/>
            </w:tcBorders>
            <w:shd w:val="clear" w:color="auto" w:fill="auto"/>
            <w:noWrap/>
            <w:vAlign w:val="center"/>
            <w:hideMark/>
          </w:tcPr>
          <w:p w14:paraId="223F4D7F" w14:textId="77777777" w:rsidR="00BB46EB" w:rsidRPr="00993FE0" w:rsidRDefault="00BB46EB" w:rsidP="00593899">
            <w:pPr>
              <w:jc w:val="center"/>
              <w:rPr>
                <w:sz w:val="17"/>
                <w:szCs w:val="17"/>
              </w:rPr>
            </w:pPr>
            <w:r w:rsidRPr="00993FE0">
              <w:rPr>
                <w:sz w:val="17"/>
                <w:szCs w:val="17"/>
              </w:rPr>
              <w:t>R$76.882.996,02</w:t>
            </w:r>
          </w:p>
        </w:tc>
        <w:tc>
          <w:tcPr>
            <w:tcW w:w="834" w:type="pct"/>
            <w:tcBorders>
              <w:top w:val="nil"/>
              <w:left w:val="nil"/>
              <w:bottom w:val="single" w:sz="4" w:space="0" w:color="auto"/>
              <w:right w:val="single" w:sz="4" w:space="0" w:color="auto"/>
            </w:tcBorders>
            <w:shd w:val="clear" w:color="auto" w:fill="auto"/>
            <w:noWrap/>
            <w:vAlign w:val="center"/>
            <w:hideMark/>
          </w:tcPr>
          <w:p w14:paraId="718CC9F7" w14:textId="77777777" w:rsidR="00BB46EB" w:rsidRPr="00993FE0" w:rsidRDefault="00BB46EB" w:rsidP="00593899">
            <w:pPr>
              <w:jc w:val="center"/>
              <w:rPr>
                <w:sz w:val="17"/>
                <w:szCs w:val="17"/>
              </w:rPr>
            </w:pPr>
            <w:r w:rsidRPr="00993FE0">
              <w:rPr>
                <w:sz w:val="17"/>
                <w:szCs w:val="17"/>
              </w:rPr>
              <w:t>R$77.651.825,98</w:t>
            </w:r>
          </w:p>
        </w:tc>
      </w:tr>
      <w:tr w:rsidR="00BB46EB" w:rsidRPr="00993FE0" w14:paraId="05441671" w14:textId="77777777" w:rsidTr="0011542E">
        <w:trPr>
          <w:trHeight w:val="288"/>
        </w:trPr>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52D280E" w14:textId="77777777" w:rsidR="00BB46EB" w:rsidRPr="00993FE0" w:rsidRDefault="00BB46EB" w:rsidP="0011542E">
            <w:pPr>
              <w:pStyle w:val="Epgrafe"/>
              <w:rPr>
                <w:rFonts w:eastAsiaTheme="minorHAnsi"/>
                <w:b/>
                <w:caps w:val="0"/>
                <w:sz w:val="17"/>
                <w:szCs w:val="17"/>
                <w:lang w:eastAsia="en-US"/>
              </w:rPr>
            </w:pPr>
            <w:r w:rsidRPr="00993FE0">
              <w:rPr>
                <w:rFonts w:eastAsiaTheme="minorHAnsi"/>
                <w:b/>
                <w:caps w:val="0"/>
                <w:sz w:val="17"/>
                <w:szCs w:val="17"/>
                <w:lang w:eastAsia="en-US"/>
              </w:rPr>
              <w:t>Investimento</w:t>
            </w:r>
          </w:p>
        </w:tc>
        <w:tc>
          <w:tcPr>
            <w:tcW w:w="834" w:type="pct"/>
            <w:tcBorders>
              <w:top w:val="nil"/>
              <w:left w:val="nil"/>
              <w:bottom w:val="single" w:sz="4" w:space="0" w:color="auto"/>
              <w:right w:val="single" w:sz="4" w:space="0" w:color="auto"/>
            </w:tcBorders>
            <w:shd w:val="clear" w:color="auto" w:fill="auto"/>
            <w:noWrap/>
            <w:vAlign w:val="center"/>
            <w:hideMark/>
          </w:tcPr>
          <w:p w14:paraId="60669453" w14:textId="77777777" w:rsidR="00BB46EB" w:rsidRPr="00993FE0" w:rsidRDefault="00BB46EB" w:rsidP="00593899">
            <w:pPr>
              <w:jc w:val="center"/>
              <w:rPr>
                <w:sz w:val="17"/>
                <w:szCs w:val="17"/>
              </w:rPr>
            </w:pPr>
            <w:r w:rsidRPr="00993FE0">
              <w:rPr>
                <w:sz w:val="17"/>
                <w:szCs w:val="17"/>
              </w:rPr>
              <w:t>R$7.133.150,25</w:t>
            </w:r>
          </w:p>
        </w:tc>
        <w:tc>
          <w:tcPr>
            <w:tcW w:w="834" w:type="pct"/>
            <w:tcBorders>
              <w:top w:val="nil"/>
              <w:left w:val="nil"/>
              <w:bottom w:val="single" w:sz="4" w:space="0" w:color="auto"/>
              <w:right w:val="single" w:sz="4" w:space="0" w:color="auto"/>
            </w:tcBorders>
            <w:shd w:val="clear" w:color="auto" w:fill="auto"/>
            <w:noWrap/>
            <w:vAlign w:val="center"/>
            <w:hideMark/>
          </w:tcPr>
          <w:p w14:paraId="5A551C14" w14:textId="77777777" w:rsidR="00BB46EB" w:rsidRPr="00993FE0" w:rsidRDefault="00BB46EB" w:rsidP="00593899">
            <w:pPr>
              <w:jc w:val="center"/>
              <w:rPr>
                <w:sz w:val="17"/>
                <w:szCs w:val="17"/>
              </w:rPr>
            </w:pPr>
            <w:r w:rsidRPr="00993FE0">
              <w:rPr>
                <w:sz w:val="17"/>
                <w:szCs w:val="17"/>
              </w:rPr>
              <w:t>R$7.204.481,75</w:t>
            </w:r>
          </w:p>
        </w:tc>
        <w:tc>
          <w:tcPr>
            <w:tcW w:w="834" w:type="pct"/>
            <w:tcBorders>
              <w:top w:val="nil"/>
              <w:left w:val="nil"/>
              <w:bottom w:val="single" w:sz="4" w:space="0" w:color="auto"/>
              <w:right w:val="single" w:sz="4" w:space="0" w:color="auto"/>
            </w:tcBorders>
            <w:shd w:val="clear" w:color="auto" w:fill="auto"/>
            <w:noWrap/>
            <w:vAlign w:val="center"/>
            <w:hideMark/>
          </w:tcPr>
          <w:p w14:paraId="0E2302A3" w14:textId="77777777" w:rsidR="00BB46EB" w:rsidRPr="00993FE0" w:rsidRDefault="00BB46EB" w:rsidP="00593899">
            <w:pPr>
              <w:jc w:val="center"/>
              <w:rPr>
                <w:sz w:val="17"/>
                <w:szCs w:val="17"/>
              </w:rPr>
            </w:pPr>
            <w:r w:rsidRPr="00993FE0">
              <w:rPr>
                <w:sz w:val="17"/>
                <w:szCs w:val="17"/>
              </w:rPr>
              <w:t>R$7.276.526,57</w:t>
            </w:r>
          </w:p>
        </w:tc>
        <w:tc>
          <w:tcPr>
            <w:tcW w:w="834" w:type="pct"/>
            <w:tcBorders>
              <w:top w:val="nil"/>
              <w:left w:val="nil"/>
              <w:bottom w:val="single" w:sz="4" w:space="0" w:color="auto"/>
              <w:right w:val="single" w:sz="4" w:space="0" w:color="auto"/>
            </w:tcBorders>
            <w:shd w:val="clear" w:color="auto" w:fill="auto"/>
            <w:noWrap/>
            <w:vAlign w:val="center"/>
            <w:hideMark/>
          </w:tcPr>
          <w:p w14:paraId="7028D2BF" w14:textId="77777777" w:rsidR="00BB46EB" w:rsidRPr="00993FE0" w:rsidRDefault="00BB46EB" w:rsidP="00593899">
            <w:pPr>
              <w:jc w:val="center"/>
              <w:rPr>
                <w:sz w:val="17"/>
                <w:szCs w:val="17"/>
              </w:rPr>
            </w:pPr>
            <w:r w:rsidRPr="00993FE0">
              <w:rPr>
                <w:sz w:val="17"/>
                <w:szCs w:val="17"/>
              </w:rPr>
              <w:t>R$7.349.291,84</w:t>
            </w:r>
          </w:p>
        </w:tc>
        <w:tc>
          <w:tcPr>
            <w:tcW w:w="834" w:type="pct"/>
            <w:tcBorders>
              <w:top w:val="nil"/>
              <w:left w:val="nil"/>
              <w:bottom w:val="single" w:sz="4" w:space="0" w:color="auto"/>
              <w:right w:val="single" w:sz="4" w:space="0" w:color="auto"/>
            </w:tcBorders>
            <w:shd w:val="clear" w:color="auto" w:fill="auto"/>
            <w:noWrap/>
            <w:vAlign w:val="center"/>
            <w:hideMark/>
          </w:tcPr>
          <w:p w14:paraId="6929D7AE" w14:textId="77777777" w:rsidR="00BB46EB" w:rsidRPr="00993FE0" w:rsidRDefault="00BB46EB" w:rsidP="00593899">
            <w:pPr>
              <w:jc w:val="center"/>
              <w:rPr>
                <w:sz w:val="17"/>
                <w:szCs w:val="17"/>
              </w:rPr>
            </w:pPr>
            <w:r w:rsidRPr="00993FE0">
              <w:rPr>
                <w:sz w:val="17"/>
                <w:szCs w:val="17"/>
              </w:rPr>
              <w:t>R$7.422.784,75</w:t>
            </w:r>
          </w:p>
        </w:tc>
      </w:tr>
      <w:tr w:rsidR="00BB46EB" w:rsidRPr="00993FE0" w14:paraId="2E428AB6" w14:textId="77777777" w:rsidTr="00593899">
        <w:trPr>
          <w:trHeight w:val="288"/>
        </w:trPr>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01D9391" w14:textId="77777777" w:rsidR="00BB46EB" w:rsidRPr="00993FE0" w:rsidRDefault="00BB46EB" w:rsidP="00593899">
            <w:pPr>
              <w:pStyle w:val="Epgrafe"/>
              <w:rPr>
                <w:rFonts w:eastAsiaTheme="minorHAnsi"/>
                <w:b/>
                <w:caps w:val="0"/>
                <w:sz w:val="17"/>
                <w:szCs w:val="17"/>
                <w:lang w:eastAsia="en-US"/>
              </w:rPr>
            </w:pPr>
            <w:r w:rsidRPr="00993FE0">
              <w:rPr>
                <w:rFonts w:eastAsiaTheme="minorHAnsi"/>
                <w:b/>
                <w:caps w:val="0"/>
                <w:sz w:val="17"/>
                <w:szCs w:val="17"/>
                <w:lang w:eastAsia="en-US"/>
              </w:rPr>
              <w:t>TOTAL</w:t>
            </w:r>
          </w:p>
        </w:tc>
        <w:tc>
          <w:tcPr>
            <w:tcW w:w="834" w:type="pct"/>
            <w:tcBorders>
              <w:top w:val="nil"/>
              <w:left w:val="nil"/>
              <w:bottom w:val="single" w:sz="4" w:space="0" w:color="auto"/>
              <w:right w:val="single" w:sz="4" w:space="0" w:color="auto"/>
            </w:tcBorders>
            <w:shd w:val="clear" w:color="auto" w:fill="F2F2F2" w:themeFill="background1" w:themeFillShade="F2"/>
            <w:noWrap/>
            <w:vAlign w:val="center"/>
            <w:hideMark/>
          </w:tcPr>
          <w:p w14:paraId="29B2E317" w14:textId="77777777" w:rsidR="00BB46EB" w:rsidRPr="00993FE0" w:rsidRDefault="00BB46EB" w:rsidP="00593899">
            <w:pPr>
              <w:jc w:val="center"/>
              <w:rPr>
                <w:b/>
                <w:sz w:val="17"/>
                <w:szCs w:val="17"/>
              </w:rPr>
            </w:pPr>
            <w:r w:rsidRPr="00993FE0">
              <w:rPr>
                <w:b/>
                <w:sz w:val="17"/>
                <w:szCs w:val="17"/>
              </w:rPr>
              <w:t>R$445.532.011,75</w:t>
            </w:r>
          </w:p>
        </w:tc>
        <w:tc>
          <w:tcPr>
            <w:tcW w:w="834" w:type="pct"/>
            <w:tcBorders>
              <w:top w:val="nil"/>
              <w:left w:val="nil"/>
              <w:bottom w:val="single" w:sz="4" w:space="0" w:color="auto"/>
              <w:right w:val="single" w:sz="4" w:space="0" w:color="auto"/>
            </w:tcBorders>
            <w:shd w:val="clear" w:color="auto" w:fill="F2F2F2" w:themeFill="background1" w:themeFillShade="F2"/>
            <w:noWrap/>
            <w:vAlign w:val="center"/>
            <w:hideMark/>
          </w:tcPr>
          <w:p w14:paraId="4EBEB2C9" w14:textId="77777777" w:rsidR="00BB46EB" w:rsidRPr="00993FE0" w:rsidRDefault="00BB46EB" w:rsidP="00593899">
            <w:pPr>
              <w:jc w:val="center"/>
              <w:rPr>
                <w:b/>
                <w:sz w:val="17"/>
                <w:szCs w:val="17"/>
              </w:rPr>
            </w:pPr>
            <w:r w:rsidRPr="00993FE0">
              <w:rPr>
                <w:b/>
                <w:sz w:val="17"/>
                <w:szCs w:val="17"/>
              </w:rPr>
              <w:t>R$453.625.101,70</w:t>
            </w:r>
          </w:p>
        </w:tc>
        <w:tc>
          <w:tcPr>
            <w:tcW w:w="834" w:type="pct"/>
            <w:tcBorders>
              <w:top w:val="nil"/>
              <w:left w:val="nil"/>
              <w:bottom w:val="single" w:sz="4" w:space="0" w:color="auto"/>
              <w:right w:val="single" w:sz="4" w:space="0" w:color="auto"/>
            </w:tcBorders>
            <w:shd w:val="clear" w:color="auto" w:fill="F2F2F2" w:themeFill="background1" w:themeFillShade="F2"/>
            <w:noWrap/>
            <w:vAlign w:val="center"/>
            <w:hideMark/>
          </w:tcPr>
          <w:p w14:paraId="04DDA32A" w14:textId="77777777" w:rsidR="00BB46EB" w:rsidRPr="00993FE0" w:rsidRDefault="00BB46EB" w:rsidP="00593899">
            <w:pPr>
              <w:jc w:val="center"/>
              <w:rPr>
                <w:b/>
                <w:sz w:val="17"/>
                <w:szCs w:val="17"/>
              </w:rPr>
            </w:pPr>
            <w:r w:rsidRPr="00993FE0">
              <w:rPr>
                <w:b/>
                <w:sz w:val="17"/>
                <w:szCs w:val="17"/>
              </w:rPr>
              <w:t>R$461.871.877,94</w:t>
            </w:r>
          </w:p>
        </w:tc>
        <w:tc>
          <w:tcPr>
            <w:tcW w:w="834" w:type="pct"/>
            <w:tcBorders>
              <w:top w:val="nil"/>
              <w:left w:val="nil"/>
              <w:bottom w:val="single" w:sz="4" w:space="0" w:color="auto"/>
              <w:right w:val="single" w:sz="4" w:space="0" w:color="auto"/>
            </w:tcBorders>
            <w:shd w:val="clear" w:color="auto" w:fill="F2F2F2" w:themeFill="background1" w:themeFillShade="F2"/>
            <w:noWrap/>
            <w:vAlign w:val="center"/>
            <w:hideMark/>
          </w:tcPr>
          <w:p w14:paraId="45C92314" w14:textId="77777777" w:rsidR="00BB46EB" w:rsidRPr="00993FE0" w:rsidRDefault="00BB46EB" w:rsidP="00593899">
            <w:pPr>
              <w:jc w:val="center"/>
              <w:rPr>
                <w:b/>
                <w:sz w:val="17"/>
                <w:szCs w:val="17"/>
              </w:rPr>
            </w:pPr>
            <w:r w:rsidRPr="00993FE0">
              <w:rPr>
                <w:b/>
                <w:sz w:val="17"/>
                <w:szCs w:val="17"/>
              </w:rPr>
              <w:t>R$470.275.332,45</w:t>
            </w:r>
          </w:p>
        </w:tc>
        <w:tc>
          <w:tcPr>
            <w:tcW w:w="834" w:type="pct"/>
            <w:tcBorders>
              <w:top w:val="nil"/>
              <w:left w:val="nil"/>
              <w:bottom w:val="single" w:sz="4" w:space="0" w:color="auto"/>
              <w:right w:val="single" w:sz="4" w:space="0" w:color="auto"/>
            </w:tcBorders>
            <w:shd w:val="clear" w:color="auto" w:fill="F2F2F2" w:themeFill="background1" w:themeFillShade="F2"/>
            <w:noWrap/>
            <w:vAlign w:val="center"/>
            <w:hideMark/>
          </w:tcPr>
          <w:p w14:paraId="50537F2C" w14:textId="77777777" w:rsidR="00BB46EB" w:rsidRPr="00993FE0" w:rsidRDefault="00BB46EB" w:rsidP="00593899">
            <w:pPr>
              <w:jc w:val="center"/>
              <w:rPr>
                <w:b/>
                <w:sz w:val="17"/>
                <w:szCs w:val="17"/>
              </w:rPr>
            </w:pPr>
            <w:r w:rsidRPr="00993FE0">
              <w:rPr>
                <w:b/>
                <w:sz w:val="17"/>
                <w:szCs w:val="17"/>
              </w:rPr>
              <w:t>R$478.838.516,22</w:t>
            </w:r>
          </w:p>
        </w:tc>
      </w:tr>
    </w:tbl>
    <w:p w14:paraId="49D025C8" w14:textId="77777777" w:rsidR="00BB46EB" w:rsidRDefault="00BB46EB" w:rsidP="00BB46EB">
      <w:pPr>
        <w:jc w:val="both"/>
      </w:pPr>
    </w:p>
    <w:p w14:paraId="21A745D4" w14:textId="7CBD9500" w:rsidR="00BB46EB" w:rsidRDefault="00BB46EB" w:rsidP="00BB46EB">
      <w:pPr>
        <w:jc w:val="both"/>
      </w:pPr>
      <w:r>
        <w:t xml:space="preserve">Figura XX – Orçamento projetado para o </w:t>
      </w:r>
      <w:proofErr w:type="spellStart"/>
      <w:r>
        <w:t>IFSul</w:t>
      </w:r>
      <w:proofErr w:type="spellEnd"/>
      <w:r>
        <w:t xml:space="preserve"> no período 2020-2024</w:t>
      </w:r>
    </w:p>
    <w:p w14:paraId="292E92B6" w14:textId="77777777" w:rsidR="00BB46EB" w:rsidRDefault="00BB46EB" w:rsidP="00BB46EB">
      <w:pPr>
        <w:jc w:val="both"/>
      </w:pPr>
      <w:r>
        <w:rPr>
          <w:noProof/>
          <w:lang w:eastAsia="pt-BR"/>
        </w:rPr>
        <w:drawing>
          <wp:inline distT="0" distB="0" distL="0" distR="0" wp14:anchorId="3F5D6876" wp14:editId="7D7D40AB">
            <wp:extent cx="5400040" cy="2376805"/>
            <wp:effectExtent l="0" t="0" r="10160" b="444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BF0889" w14:textId="77777777" w:rsidR="00BB46EB" w:rsidRDefault="00BB46EB" w:rsidP="00BB46EB">
      <w:pPr>
        <w:jc w:val="both"/>
      </w:pPr>
      <w:r>
        <w:t xml:space="preserve"> </w:t>
      </w:r>
    </w:p>
    <w:p w14:paraId="0DB7675C" w14:textId="77777777" w:rsidR="00BB46EB" w:rsidRDefault="00BB46EB" w:rsidP="00BB46EB">
      <w:pPr>
        <w:jc w:val="both"/>
      </w:pPr>
    </w:p>
    <w:p w14:paraId="5004E400" w14:textId="77777777" w:rsidR="00BB46EB" w:rsidRDefault="00BB46EB" w:rsidP="00BB46EB">
      <w:pPr>
        <w:jc w:val="both"/>
      </w:pPr>
      <w:r>
        <w:lastRenderedPageBreak/>
        <w:t>Nas projeções não foram considerados os recursos orçamentários oriundos de Emendas Parlamentares de Bancada ou Individuais, tendo em vista que não é possível prever os valores destinados pelos parlamentares que cumprem mandato a cada ano.</w:t>
      </w:r>
    </w:p>
    <w:p w14:paraId="66ABBAF3" w14:textId="77777777" w:rsidR="00BB46EB" w:rsidRDefault="00BB46EB" w:rsidP="00BB46EB">
      <w:pPr>
        <w:jc w:val="both"/>
      </w:pPr>
    </w:p>
    <w:p w14:paraId="652FEC25" w14:textId="77777777" w:rsidR="00BB46EB" w:rsidRDefault="00BB46EB" w:rsidP="00BB46EB">
      <w:pPr>
        <w:jc w:val="both"/>
      </w:pPr>
      <w:r>
        <w:t xml:space="preserve">Como estratégia para se obter eficiência e eficácia na gestão econômico-financeira do </w:t>
      </w:r>
      <w:proofErr w:type="spellStart"/>
      <w:r>
        <w:t>IFSul</w:t>
      </w:r>
      <w:proofErr w:type="spellEnd"/>
      <w:r>
        <w:t xml:space="preserve">, propõem-se as seguintes ações para o período 2020-2024: </w:t>
      </w:r>
    </w:p>
    <w:p w14:paraId="7A83288C" w14:textId="77777777" w:rsidR="00BB46EB" w:rsidRDefault="00BB46EB" w:rsidP="00BB46EB">
      <w:pPr>
        <w:jc w:val="both"/>
      </w:pPr>
    </w:p>
    <w:p w14:paraId="14B76C49" w14:textId="77777777" w:rsidR="00BB46EB" w:rsidRPr="00DC63F8" w:rsidRDefault="00BB46EB" w:rsidP="00BB46EB">
      <w:pPr>
        <w:pStyle w:val="PargrafodaLista"/>
        <w:numPr>
          <w:ilvl w:val="0"/>
          <w:numId w:val="2"/>
        </w:numPr>
        <w:jc w:val="both"/>
        <w:rPr>
          <w:rFonts w:ascii="Times New Roman" w:hAnsi="Times New Roman" w:cs="Times New Roman"/>
          <w:sz w:val="24"/>
        </w:rPr>
      </w:pPr>
      <w:proofErr w:type="gramStart"/>
      <w:r w:rsidRPr="00DC63F8">
        <w:rPr>
          <w:rFonts w:ascii="Times New Roman" w:hAnsi="Times New Roman" w:cs="Times New Roman"/>
          <w:sz w:val="24"/>
        </w:rPr>
        <w:t>consolidar</w:t>
      </w:r>
      <w:proofErr w:type="gramEnd"/>
      <w:r w:rsidRPr="00DC63F8">
        <w:rPr>
          <w:rFonts w:ascii="Times New Roman" w:hAnsi="Times New Roman" w:cs="Times New Roman"/>
          <w:sz w:val="24"/>
        </w:rPr>
        <w:t xml:space="preserve"> a interlocução entre a gestão e a comunidade, a fim de garantir transparência às ações institucionais; </w:t>
      </w:r>
    </w:p>
    <w:p w14:paraId="5BC1F5DF" w14:textId="77777777" w:rsidR="00BB46EB" w:rsidRPr="00DC63F8" w:rsidRDefault="00BB46EB" w:rsidP="00BB46EB">
      <w:pPr>
        <w:pStyle w:val="PargrafodaLista"/>
        <w:numPr>
          <w:ilvl w:val="0"/>
          <w:numId w:val="2"/>
        </w:numPr>
        <w:jc w:val="both"/>
        <w:rPr>
          <w:rFonts w:ascii="Times New Roman" w:hAnsi="Times New Roman" w:cs="Times New Roman"/>
          <w:sz w:val="24"/>
        </w:rPr>
      </w:pPr>
      <w:proofErr w:type="gramStart"/>
      <w:r w:rsidRPr="00DC63F8">
        <w:rPr>
          <w:rFonts w:ascii="Times New Roman" w:hAnsi="Times New Roman" w:cs="Times New Roman"/>
          <w:sz w:val="24"/>
        </w:rPr>
        <w:t>equalizar</w:t>
      </w:r>
      <w:proofErr w:type="gramEnd"/>
      <w:r w:rsidRPr="00DC63F8">
        <w:rPr>
          <w:rFonts w:ascii="Times New Roman" w:hAnsi="Times New Roman" w:cs="Times New Roman"/>
          <w:sz w:val="24"/>
        </w:rPr>
        <w:t xml:space="preserve"> e otimizar a estrutura física, os serviços essenciais de funcionamento e o quadro de pessoal nos </w:t>
      </w:r>
      <w:proofErr w:type="spellStart"/>
      <w:r w:rsidRPr="00DC63F8">
        <w:rPr>
          <w:rFonts w:ascii="Times New Roman" w:hAnsi="Times New Roman" w:cs="Times New Roman"/>
          <w:sz w:val="24"/>
        </w:rPr>
        <w:t>câmpus</w:t>
      </w:r>
      <w:proofErr w:type="spellEnd"/>
      <w:r w:rsidRPr="00DC63F8">
        <w:rPr>
          <w:rFonts w:ascii="Times New Roman" w:hAnsi="Times New Roman" w:cs="Times New Roman"/>
          <w:sz w:val="24"/>
        </w:rPr>
        <w:t xml:space="preserve"> e reitoria; </w:t>
      </w:r>
    </w:p>
    <w:p w14:paraId="3B02658C" w14:textId="77777777" w:rsidR="00BB46EB" w:rsidRPr="00DC63F8" w:rsidRDefault="00BB46EB" w:rsidP="00BB46EB">
      <w:pPr>
        <w:pStyle w:val="PargrafodaLista"/>
        <w:numPr>
          <w:ilvl w:val="0"/>
          <w:numId w:val="2"/>
        </w:numPr>
        <w:jc w:val="both"/>
        <w:rPr>
          <w:rFonts w:ascii="Times New Roman" w:hAnsi="Times New Roman" w:cs="Times New Roman"/>
          <w:sz w:val="24"/>
        </w:rPr>
      </w:pPr>
      <w:proofErr w:type="gramStart"/>
      <w:r w:rsidRPr="00DC63F8">
        <w:rPr>
          <w:rFonts w:ascii="Times New Roman" w:hAnsi="Times New Roman" w:cs="Times New Roman"/>
          <w:sz w:val="24"/>
        </w:rPr>
        <w:t>manter</w:t>
      </w:r>
      <w:proofErr w:type="gramEnd"/>
      <w:r w:rsidRPr="00DC63F8">
        <w:rPr>
          <w:rFonts w:ascii="Times New Roman" w:hAnsi="Times New Roman" w:cs="Times New Roman"/>
          <w:sz w:val="24"/>
        </w:rPr>
        <w:t xml:space="preserve"> e implementar capacitações de servidores, com foco na gestão pública, para melhoria contínua dos processos e atividades; </w:t>
      </w:r>
    </w:p>
    <w:p w14:paraId="65FE7729" w14:textId="77777777" w:rsidR="00BB46EB" w:rsidRPr="00DC63F8" w:rsidRDefault="00BB46EB" w:rsidP="00BB46EB">
      <w:pPr>
        <w:pStyle w:val="PargrafodaLista"/>
        <w:numPr>
          <w:ilvl w:val="0"/>
          <w:numId w:val="2"/>
        </w:numPr>
        <w:jc w:val="both"/>
        <w:rPr>
          <w:rFonts w:ascii="Times New Roman" w:hAnsi="Times New Roman" w:cs="Times New Roman"/>
          <w:sz w:val="24"/>
        </w:rPr>
      </w:pPr>
      <w:proofErr w:type="gramStart"/>
      <w:r w:rsidRPr="00DC63F8">
        <w:rPr>
          <w:rFonts w:ascii="Times New Roman" w:hAnsi="Times New Roman" w:cs="Times New Roman"/>
          <w:sz w:val="24"/>
        </w:rPr>
        <w:t>propor</w:t>
      </w:r>
      <w:proofErr w:type="gramEnd"/>
      <w:r w:rsidRPr="00DC63F8">
        <w:rPr>
          <w:rFonts w:ascii="Times New Roman" w:hAnsi="Times New Roman" w:cs="Times New Roman"/>
          <w:sz w:val="24"/>
        </w:rPr>
        <w:t xml:space="preserve"> a melhoria dos gastos fixos com custeio, com a definição de padrões e metas que objetivem maior flexibilidade em investimentos nas atividades fins da instituição, de ensino, pesquisa e extensão;  </w:t>
      </w:r>
    </w:p>
    <w:p w14:paraId="6E2E4EC9" w14:textId="77777777" w:rsidR="00BB46EB" w:rsidRPr="00DC63F8" w:rsidRDefault="00BB46EB" w:rsidP="00BB46EB">
      <w:pPr>
        <w:pStyle w:val="PargrafodaLista"/>
        <w:numPr>
          <w:ilvl w:val="0"/>
          <w:numId w:val="2"/>
        </w:numPr>
        <w:jc w:val="both"/>
        <w:rPr>
          <w:rFonts w:ascii="Times New Roman" w:hAnsi="Times New Roman" w:cs="Times New Roman"/>
          <w:sz w:val="24"/>
        </w:rPr>
      </w:pPr>
      <w:proofErr w:type="gramStart"/>
      <w:r w:rsidRPr="00DC63F8">
        <w:rPr>
          <w:rFonts w:ascii="Times New Roman" w:hAnsi="Times New Roman" w:cs="Times New Roman"/>
          <w:sz w:val="24"/>
        </w:rPr>
        <w:t>realizar</w:t>
      </w:r>
      <w:proofErr w:type="gramEnd"/>
      <w:r w:rsidRPr="00DC63F8">
        <w:rPr>
          <w:rFonts w:ascii="Times New Roman" w:hAnsi="Times New Roman" w:cs="Times New Roman"/>
          <w:sz w:val="24"/>
        </w:rPr>
        <w:t xml:space="preserve"> estudos das previsões de receitas e fixações de despesas nos </w:t>
      </w:r>
      <w:proofErr w:type="spellStart"/>
      <w:r w:rsidRPr="00DC63F8">
        <w:rPr>
          <w:rFonts w:ascii="Times New Roman" w:hAnsi="Times New Roman" w:cs="Times New Roman"/>
          <w:sz w:val="24"/>
        </w:rPr>
        <w:t>câmpus</w:t>
      </w:r>
      <w:proofErr w:type="spellEnd"/>
      <w:r w:rsidRPr="00DC63F8">
        <w:rPr>
          <w:rFonts w:ascii="Times New Roman" w:hAnsi="Times New Roman" w:cs="Times New Roman"/>
          <w:sz w:val="24"/>
        </w:rPr>
        <w:t xml:space="preserve"> e reitoria, tendo por base métodos que fortaleçam o planejamento institucional e a avaliação de indicadores, em especial os utilizados pelo Tribunal de Conta</w:t>
      </w:r>
      <w:r>
        <w:rPr>
          <w:rFonts w:ascii="Times New Roman" w:hAnsi="Times New Roman" w:cs="Times New Roman"/>
          <w:sz w:val="24"/>
        </w:rPr>
        <w:t>s da União (TCU); e</w:t>
      </w:r>
    </w:p>
    <w:p w14:paraId="01916EA2" w14:textId="77777777" w:rsidR="00BB46EB" w:rsidRDefault="00BB46EB" w:rsidP="00BB46EB">
      <w:pPr>
        <w:pStyle w:val="PargrafodaLista"/>
        <w:numPr>
          <w:ilvl w:val="0"/>
          <w:numId w:val="2"/>
        </w:numPr>
        <w:jc w:val="both"/>
        <w:rPr>
          <w:rFonts w:ascii="Times New Roman" w:hAnsi="Times New Roman" w:cs="Times New Roman"/>
          <w:sz w:val="24"/>
        </w:rPr>
      </w:pPr>
      <w:r w:rsidRPr="00DC63F8">
        <w:rPr>
          <w:rFonts w:ascii="Times New Roman" w:hAnsi="Times New Roman" w:cs="Times New Roman"/>
          <w:sz w:val="24"/>
        </w:rPr>
        <w:t xml:space="preserve">Desenvolver indicadores próprios de desempenho com vistas a acompanhar a performance da Instituição e, a partir deles, decidir quais decisões tomar para que os resultados sejam melhorados. </w:t>
      </w:r>
      <w:bookmarkStart w:id="3" w:name="_GoBack"/>
      <w:bookmarkEnd w:id="3"/>
    </w:p>
    <w:sectPr w:rsidR="00BB46EB">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a Paula Nogueira e Silva" w:date="2019-11-27T10:30:00Z" w:initials="APNeS">
    <w:p w14:paraId="5E642401" w14:textId="77777777" w:rsidR="00BA4399" w:rsidRDefault="00BA4399">
      <w:pPr>
        <w:pStyle w:val="Textodecomentrio"/>
      </w:pPr>
      <w:r>
        <w:rPr>
          <w:rStyle w:val="Refdecomentrio"/>
        </w:rPr>
        <w:annotationRef/>
      </w:r>
      <w:r>
        <w:t>Avaliar se esses trechos são adequados ao PDI.</w:t>
      </w:r>
    </w:p>
  </w:comment>
  <w:comment w:id="1" w:author="Ana Paula Nogueira e Silva" w:date="2019-11-27T10:31:00Z" w:initials="APNeS">
    <w:p w14:paraId="42C62476" w14:textId="77777777" w:rsidR="00BA4399" w:rsidRDefault="00BA4399">
      <w:pPr>
        <w:pStyle w:val="Textodecomentrio"/>
      </w:pPr>
      <w:r>
        <w:rPr>
          <w:rStyle w:val="Refdecomentrio"/>
        </w:rPr>
        <w:annotationRef/>
      </w:r>
      <w:r>
        <w:t>Avaliar a possibilidade de incluir os valores de 2019 em todos esses quadros e gráficos</w:t>
      </w:r>
    </w:p>
  </w:comment>
  <w:comment w:id="2" w:author="Ana Paula Nogueira e Silva" w:date="2019-11-27T10:32:00Z" w:initials="APNeS">
    <w:p w14:paraId="4671A480" w14:textId="1A1A445E" w:rsidR="00E340FE" w:rsidRDefault="00BA4399">
      <w:pPr>
        <w:pStyle w:val="Textodecomentrio"/>
      </w:pPr>
      <w:r>
        <w:rPr>
          <w:rStyle w:val="Refdecomentrio"/>
        </w:rPr>
        <w:annotationRef/>
      </w:r>
      <w:r>
        <w:t>No parágrafo acima foram citados os orçamentos de investimento, custeio e pessoal, mas só foi apresentado o gráfico da evolução do orçamento de investimento. Colocar gráficos dos outros?</w:t>
      </w:r>
      <w:r w:rsidR="00E340FE">
        <w:t xml:space="preserve"> Ou colocar no mesmo gráfico com diferentes linhas?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642401" w15:done="0"/>
  <w15:commentEx w15:paraId="42C62476" w15:done="0"/>
  <w15:commentEx w15:paraId="4671A48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F2F81"/>
    <w:multiLevelType w:val="hybridMultilevel"/>
    <w:tmpl w:val="416E83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3000A0A"/>
    <w:multiLevelType w:val="hybridMultilevel"/>
    <w:tmpl w:val="BE6A5B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Paula Nogueira e Silva">
    <w15:presenceInfo w15:providerId="AD" w15:userId="S-1-5-21-2080802588-421852626-1620566057-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29"/>
    <w:rsid w:val="0011542E"/>
    <w:rsid w:val="00205567"/>
    <w:rsid w:val="0026470A"/>
    <w:rsid w:val="00513C88"/>
    <w:rsid w:val="008873EB"/>
    <w:rsid w:val="009E11BF"/>
    <w:rsid w:val="00A52229"/>
    <w:rsid w:val="00BA4399"/>
    <w:rsid w:val="00BB46EB"/>
    <w:rsid w:val="00E340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1A50"/>
  <w15:chartTrackingRefBased/>
  <w15:docId w15:val="{2C917F12-DF8A-475C-9B65-9AB1D004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6EB"/>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B46E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BB46E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pgrafe">
    <w:name w:val="#Epígrafe"/>
    <w:basedOn w:val="Normal"/>
    <w:qFormat/>
    <w:rsid w:val="00BB46EB"/>
    <w:pPr>
      <w:widowControl w:val="0"/>
      <w:jc w:val="center"/>
    </w:pPr>
    <w:rPr>
      <w:caps/>
      <w:szCs w:val="20"/>
      <w:lang w:eastAsia="pt-BR"/>
    </w:rPr>
  </w:style>
  <w:style w:type="character" w:styleId="Refdecomentrio">
    <w:name w:val="annotation reference"/>
    <w:basedOn w:val="Fontepargpadro"/>
    <w:uiPriority w:val="99"/>
    <w:semiHidden/>
    <w:unhideWhenUsed/>
    <w:rsid w:val="00BA4399"/>
    <w:rPr>
      <w:sz w:val="16"/>
      <w:szCs w:val="16"/>
    </w:rPr>
  </w:style>
  <w:style w:type="paragraph" w:styleId="Textodecomentrio">
    <w:name w:val="annotation text"/>
    <w:basedOn w:val="Normal"/>
    <w:link w:val="TextodecomentrioChar"/>
    <w:uiPriority w:val="99"/>
    <w:semiHidden/>
    <w:unhideWhenUsed/>
    <w:rsid w:val="00BA4399"/>
    <w:rPr>
      <w:sz w:val="20"/>
      <w:szCs w:val="20"/>
    </w:rPr>
  </w:style>
  <w:style w:type="character" w:customStyle="1" w:styleId="TextodecomentrioChar">
    <w:name w:val="Texto de comentário Char"/>
    <w:basedOn w:val="Fontepargpadro"/>
    <w:link w:val="Textodecomentrio"/>
    <w:uiPriority w:val="99"/>
    <w:semiHidden/>
    <w:rsid w:val="00BA4399"/>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BA4399"/>
    <w:rPr>
      <w:b/>
      <w:bCs/>
    </w:rPr>
  </w:style>
  <w:style w:type="character" w:customStyle="1" w:styleId="AssuntodocomentrioChar">
    <w:name w:val="Assunto do comentário Char"/>
    <w:basedOn w:val="TextodecomentrioChar"/>
    <w:link w:val="Assuntodocomentrio"/>
    <w:uiPriority w:val="99"/>
    <w:semiHidden/>
    <w:rsid w:val="00BA4399"/>
    <w:rPr>
      <w:rFonts w:ascii="Times New Roman" w:eastAsia="Times New Roman" w:hAnsi="Times New Roman" w:cs="Times New Roman"/>
      <w:b/>
      <w:bCs/>
      <w:sz w:val="20"/>
      <w:szCs w:val="20"/>
      <w:lang w:eastAsia="ar-SA"/>
    </w:rPr>
  </w:style>
  <w:style w:type="paragraph" w:styleId="Textodebalo">
    <w:name w:val="Balloon Text"/>
    <w:basedOn w:val="Normal"/>
    <w:link w:val="TextodebaloChar"/>
    <w:uiPriority w:val="99"/>
    <w:semiHidden/>
    <w:unhideWhenUsed/>
    <w:rsid w:val="00BA4399"/>
    <w:rPr>
      <w:rFonts w:ascii="Segoe UI" w:hAnsi="Segoe UI" w:cs="Segoe UI"/>
      <w:sz w:val="18"/>
      <w:szCs w:val="18"/>
    </w:rPr>
  </w:style>
  <w:style w:type="character" w:customStyle="1" w:styleId="TextodebaloChar">
    <w:name w:val="Texto de balão Char"/>
    <w:basedOn w:val="Fontepargpadro"/>
    <w:link w:val="Textodebalo"/>
    <w:uiPriority w:val="99"/>
    <w:semiHidden/>
    <w:rsid w:val="00BA439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nielalopes\Downloads\graficos%20or&#231;ament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nielalopes\Downloads\graficos%20or&#231;ament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nielalopes\Downloads\grafico%20dani.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t-BR"/>
              <a:t>Orçamento Total</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lineChart>
        <c:grouping val="standard"/>
        <c:varyColors val="0"/>
        <c:ser>
          <c:idx val="0"/>
          <c:order val="0"/>
          <c:spPr>
            <a:ln w="28575" cap="rnd">
              <a:solidFill>
                <a:schemeClr val="accent1"/>
              </a:solidFill>
              <a:round/>
            </a:ln>
            <a:effectLst/>
          </c:spPr>
          <c:marker>
            <c:symbol val="none"/>
          </c:marker>
          <c:dLbls>
            <c:dLbl>
              <c:idx val="0"/>
              <c:layout>
                <c:manualLayout>
                  <c:x val="-9.1053932705769211E-2"/>
                  <c:y val="-0.10282669211803078"/>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970-4F1B-8051-2E62E839D411}"/>
                </c:ext>
                <c:ext xmlns:c15="http://schemas.microsoft.com/office/drawing/2012/chart" uri="{CE6537A1-D6FC-4f65-9D91-7224C49458BB}">
                  <c15:layout/>
                </c:ext>
              </c:extLst>
            </c:dLbl>
            <c:dLbl>
              <c:idx val="1"/>
              <c:layout>
                <c:manualLayout>
                  <c:x val="-9.070543394223525E-2"/>
                  <c:y val="-9.320925793366746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970-4F1B-8051-2E62E839D411}"/>
                </c:ext>
                <c:ext xmlns:c15="http://schemas.microsoft.com/office/drawing/2012/chart" uri="{CE6537A1-D6FC-4f65-9D91-7224C49458BB}">
                  <c15:layout/>
                </c:ext>
              </c:extLst>
            </c:dLbl>
            <c:dLbl>
              <c:idx val="2"/>
              <c:layout>
                <c:manualLayout>
                  <c:x val="-8.9917234524088244E-2"/>
                  <c:y val="-0.12618256051326918"/>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970-4F1B-8051-2E62E839D411}"/>
                </c:ext>
                <c:ext xmlns:c15="http://schemas.microsoft.com/office/drawing/2012/chart" uri="{CE6537A1-D6FC-4f65-9D91-7224C49458BB}">
                  <c15:layout/>
                </c:ext>
              </c:extLst>
            </c:dLbl>
            <c:dLbl>
              <c:idx val="3"/>
              <c:layout>
                <c:manualLayout>
                  <c:x val="-9.0491787118159597E-2"/>
                  <c:y val="-0.10684836112657635"/>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970-4F1B-8051-2E62E839D411}"/>
                </c:ext>
                <c:ext xmlns:c15="http://schemas.microsoft.com/office/drawing/2012/chart" uri="{CE6537A1-D6FC-4f65-9D91-7224C49458BB}">
                  <c15:layout/>
                </c:ext>
              </c:extLst>
            </c:dLbl>
            <c:dLbl>
              <c:idx val="4"/>
              <c:layout>
                <c:manualLayout>
                  <c:x val="-2.1734542562952007E-2"/>
                  <c:y val="-8.3939305566602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970-4F1B-8051-2E62E839D411}"/>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'[graficos orçamento.xlsx]Plan1'!$B$1:$F$1</c:f>
              <c:numCache>
                <c:formatCode>General</c:formatCode>
                <c:ptCount val="5"/>
                <c:pt idx="0">
                  <c:v>2014</c:v>
                </c:pt>
                <c:pt idx="1">
                  <c:v>2015</c:v>
                </c:pt>
                <c:pt idx="2">
                  <c:v>2016</c:v>
                </c:pt>
                <c:pt idx="3">
                  <c:v>2017</c:v>
                </c:pt>
                <c:pt idx="4">
                  <c:v>2018</c:v>
                </c:pt>
              </c:numCache>
            </c:numRef>
          </c:cat>
          <c:val>
            <c:numRef>
              <c:f>'[graficos orçamento.xlsx]Plan1'!$B$5:$F$5</c:f>
              <c:numCache>
                <c:formatCode>_("R$"* #,##0.00_);_("R$"* \(#,##0.00\);_("R$"* "-"??_);_(@_)</c:formatCode>
                <c:ptCount val="5"/>
                <c:pt idx="0">
                  <c:v>321666145</c:v>
                </c:pt>
                <c:pt idx="1">
                  <c:v>357482997</c:v>
                </c:pt>
                <c:pt idx="2">
                  <c:v>375894198</c:v>
                </c:pt>
                <c:pt idx="3">
                  <c:v>415818576</c:v>
                </c:pt>
                <c:pt idx="4">
                  <c:v>437100928</c:v>
                </c:pt>
              </c:numCache>
            </c:numRef>
          </c:val>
          <c:smooth val="0"/>
          <c:extLst xmlns:c16r2="http://schemas.microsoft.com/office/drawing/2015/06/chart">
            <c:ext xmlns:c16="http://schemas.microsoft.com/office/drawing/2014/chart" uri="{C3380CC4-5D6E-409C-BE32-E72D297353CC}">
              <c16:uniqueId val="{00000005-D970-4F1B-8051-2E62E839D411}"/>
            </c:ext>
          </c:extLst>
        </c:ser>
        <c:dLbls>
          <c:dLblPos val="ctr"/>
          <c:showLegendKey val="0"/>
          <c:showVal val="1"/>
          <c:showCatName val="0"/>
          <c:showSerName val="0"/>
          <c:showPercent val="0"/>
          <c:showBubbleSize val="0"/>
        </c:dLbls>
        <c:smooth val="0"/>
        <c:axId val="1098998864"/>
        <c:axId val="1098999408"/>
      </c:lineChart>
      <c:catAx>
        <c:axId val="109899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1098999408"/>
        <c:crosses val="autoZero"/>
        <c:auto val="1"/>
        <c:lblAlgn val="ctr"/>
        <c:lblOffset val="100"/>
        <c:noMultiLvlLbl val="0"/>
      </c:catAx>
      <c:valAx>
        <c:axId val="1098999408"/>
        <c:scaling>
          <c:orientation val="minMax"/>
          <c:min val="300000000"/>
        </c:scaling>
        <c:delete val="0"/>
        <c:axPos val="l"/>
        <c:majorGridlines>
          <c:spPr>
            <a:ln w="9525" cap="flat" cmpd="sng" algn="ctr">
              <a:solidFill>
                <a:schemeClr val="tx1">
                  <a:lumMod val="15000"/>
                  <a:lumOff val="85000"/>
                </a:schemeClr>
              </a:solidFill>
              <a:round/>
            </a:ln>
            <a:effectLst/>
          </c:spPr>
        </c:majorGridlines>
        <c:numFmt formatCode="_(&quot;R$&quot;* #,##0.00_);_(&quot;R$&quot;* \(#,##0.00\);_(&quot;R$&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1098998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t-BR"/>
              <a:t>Investimento</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lineChart>
        <c:grouping val="standard"/>
        <c:varyColors val="0"/>
        <c:ser>
          <c:idx val="0"/>
          <c:order val="0"/>
          <c:spPr>
            <a:ln w="28575" cap="rnd">
              <a:solidFill>
                <a:schemeClr val="accent1"/>
              </a:solidFill>
              <a:round/>
            </a:ln>
            <a:effectLst/>
          </c:spPr>
          <c:marker>
            <c:symbol val="none"/>
          </c:marker>
          <c:dLbls>
            <c:dLbl>
              <c:idx val="0"/>
              <c:layout>
                <c:manualLayout>
                  <c:x val="-8.6081850569314972E-2"/>
                  <c:y val="-7.105727419120773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2C6-4778-957F-A94B41155DE3}"/>
                </c:ext>
                <c:ext xmlns:c15="http://schemas.microsoft.com/office/drawing/2012/chart" uri="{CE6537A1-D6FC-4f65-9D91-7224C49458BB}">
                  <c15:layout/>
                </c:ext>
              </c:extLst>
            </c:dLbl>
            <c:dLbl>
              <c:idx val="1"/>
              <c:layout>
                <c:manualLayout>
                  <c:x val="-8.5699198360299433E-2"/>
                  <c:y val="-0.1199091501976630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2C6-4778-957F-A94B41155DE3}"/>
                </c:ext>
                <c:ext xmlns:c15="http://schemas.microsoft.com/office/drawing/2012/chart" uri="{CE6537A1-D6FC-4f65-9D91-7224C49458BB}">
                  <c15:layout/>
                </c:ext>
              </c:extLst>
            </c:dLbl>
            <c:dLbl>
              <c:idx val="2"/>
              <c:layout>
                <c:manualLayout>
                  <c:x val="-8.3441056062609112E-2"/>
                  <c:y val="-0.2087307429366727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2C6-4778-957F-A94B41155DE3}"/>
                </c:ext>
                <c:ext xmlns:c15="http://schemas.microsoft.com/office/drawing/2012/chart" uri="{CE6537A1-D6FC-4f65-9D91-7224C49458BB}">
                  <c15:layout/>
                </c:ext>
              </c:extLst>
            </c:dLbl>
            <c:dLbl>
              <c:idx val="3"/>
              <c:layout>
                <c:manualLayout>
                  <c:x val="-8.2123080734774132E-2"/>
                  <c:y val="-9.770375201291069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2C6-4778-957F-A94B41155DE3}"/>
                </c:ext>
                <c:ext xmlns:c15="http://schemas.microsoft.com/office/drawing/2012/chart" uri="{CE6537A1-D6FC-4f65-9D91-7224C49458BB}">
                  <c15:layout/>
                </c:ext>
              </c:extLst>
            </c:dLbl>
            <c:dLbl>
              <c:idx val="4"/>
              <c:layout>
                <c:manualLayout>
                  <c:x val="-3.4983427370169136E-2"/>
                  <c:y val="-9.770375201291076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2C6-4778-957F-A94B41155DE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'[graficos orçamento.xlsx]Plan1'!$B$1:$F$1</c:f>
              <c:numCache>
                <c:formatCode>General</c:formatCode>
                <c:ptCount val="5"/>
                <c:pt idx="0">
                  <c:v>2014</c:v>
                </c:pt>
                <c:pt idx="1">
                  <c:v>2015</c:v>
                </c:pt>
                <c:pt idx="2">
                  <c:v>2016</c:v>
                </c:pt>
                <c:pt idx="3">
                  <c:v>2017</c:v>
                </c:pt>
                <c:pt idx="4">
                  <c:v>2018</c:v>
                </c:pt>
              </c:numCache>
            </c:numRef>
          </c:cat>
          <c:val>
            <c:numRef>
              <c:f>'[graficos orçamento.xlsx]Plan1'!$B$4:$F$4</c:f>
              <c:numCache>
                <c:formatCode>_("R$"* #,##0.00_);_("R$"* \(#,##0.00\);_("R$"* "-"??_);_(@_)</c:formatCode>
                <c:ptCount val="5"/>
                <c:pt idx="0">
                  <c:v>30086587</c:v>
                </c:pt>
                <c:pt idx="1">
                  <c:v>24154903</c:v>
                </c:pt>
                <c:pt idx="2">
                  <c:v>8215825</c:v>
                </c:pt>
                <c:pt idx="3">
                  <c:v>7403235</c:v>
                </c:pt>
                <c:pt idx="4">
                  <c:v>5490903</c:v>
                </c:pt>
              </c:numCache>
            </c:numRef>
          </c:val>
          <c:smooth val="0"/>
          <c:extLst xmlns:c16r2="http://schemas.microsoft.com/office/drawing/2015/06/chart">
            <c:ext xmlns:c16="http://schemas.microsoft.com/office/drawing/2014/chart" uri="{C3380CC4-5D6E-409C-BE32-E72D297353CC}">
              <c16:uniqueId val="{00000005-C2C6-4778-957F-A94B41155DE3}"/>
            </c:ext>
          </c:extLst>
        </c:ser>
        <c:dLbls>
          <c:dLblPos val="ctr"/>
          <c:showLegendKey val="0"/>
          <c:showVal val="1"/>
          <c:showCatName val="0"/>
          <c:showSerName val="0"/>
          <c:showPercent val="0"/>
          <c:showBubbleSize val="0"/>
        </c:dLbls>
        <c:smooth val="0"/>
        <c:axId val="1098997776"/>
        <c:axId val="1099002672"/>
      </c:lineChart>
      <c:catAx>
        <c:axId val="109899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1099002672"/>
        <c:crosses val="autoZero"/>
        <c:auto val="1"/>
        <c:lblAlgn val="ctr"/>
        <c:lblOffset val="100"/>
        <c:noMultiLvlLbl val="0"/>
      </c:catAx>
      <c:valAx>
        <c:axId val="1099002672"/>
        <c:scaling>
          <c:orientation val="minMax"/>
          <c:min val="5000000"/>
        </c:scaling>
        <c:delete val="0"/>
        <c:axPos val="l"/>
        <c:majorGridlines>
          <c:spPr>
            <a:ln w="9525" cap="flat" cmpd="sng" algn="ctr">
              <a:solidFill>
                <a:schemeClr val="tx1">
                  <a:lumMod val="15000"/>
                  <a:lumOff val="85000"/>
                </a:schemeClr>
              </a:solidFill>
              <a:round/>
            </a:ln>
            <a:effectLst/>
          </c:spPr>
        </c:majorGridlines>
        <c:numFmt formatCode="_(&quot;R$&quot;* #,##0.00_);_(&quot;R$&quot;* \(#,##0.00\);_(&quot;R$&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1098997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t-BR"/>
              <a:t>Orçamento Projetado</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lineChart>
        <c:grouping val="standard"/>
        <c:varyColors val="0"/>
        <c:ser>
          <c:idx val="0"/>
          <c:order val="0"/>
          <c:tx>
            <c:strRef>
              <c:f>'[grafico dani.xlsx]Planilha1'!$D$34</c:f>
              <c:strCache>
                <c:ptCount val="1"/>
                <c:pt idx="0">
                  <c:v>TOTAL</c:v>
                </c:pt>
              </c:strCache>
            </c:strRef>
          </c:tx>
          <c:spPr>
            <a:ln w="28575" cap="rnd">
              <a:solidFill>
                <a:schemeClr val="accent1"/>
              </a:solidFill>
              <a:round/>
            </a:ln>
            <a:effectLst/>
          </c:spPr>
          <c:marker>
            <c:symbol val="none"/>
          </c:marker>
          <c:dLbls>
            <c:dLbl>
              <c:idx val="0"/>
              <c:layout>
                <c:manualLayout>
                  <c:x val="4.7613697866694164E-2"/>
                  <c:y val="0.1111111111111110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F97-4B05-8694-AE8DB25006A6}"/>
                </c:ext>
                <c:ext xmlns:c15="http://schemas.microsoft.com/office/drawing/2012/chart" uri="{CE6537A1-D6FC-4f65-9D91-7224C49458BB}">
                  <c15:layout>
                    <c:manualLayout>
                      <c:w val="0.21619444444444444"/>
                      <c:h val="0.11560185185185186"/>
                    </c:manualLayout>
                  </c15:layout>
                </c:ext>
              </c:extLst>
            </c:dLbl>
            <c:dLbl>
              <c:idx val="1"/>
              <c:layout>
                <c:manualLayout>
                  <c:x val="-0.26791268205868257"/>
                  <c:y val="-0.10185185185185185"/>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F97-4B05-8694-AE8DB25006A6}"/>
                </c:ext>
                <c:ext xmlns:c15="http://schemas.microsoft.com/office/drawing/2012/chart" uri="{CE6537A1-D6FC-4f65-9D91-7224C49458BB}">
                  <c15:layout>
                    <c:manualLayout>
                      <c:w val="0.20508333333333334"/>
                      <c:h val="0.11560185185185186"/>
                    </c:manualLayout>
                  </c15:layout>
                </c:ext>
              </c:extLst>
            </c:dLbl>
            <c:dLbl>
              <c:idx val="2"/>
              <c:layout>
                <c:manualLayout>
                  <c:x val="5.168111581650453E-2"/>
                  <c:y val="0.1111111111111111"/>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F97-4B05-8694-AE8DB25006A6}"/>
                </c:ext>
                <c:ext xmlns:c15="http://schemas.microsoft.com/office/drawing/2012/chart" uri="{CE6537A1-D6FC-4f65-9D91-7224C49458BB}">
                  <c15:layout>
                    <c:manualLayout>
                      <c:w val="0.21063888888888888"/>
                      <c:h val="0.11560185185185186"/>
                    </c:manualLayout>
                  </c15:layout>
                </c:ext>
              </c:extLst>
            </c:dLbl>
            <c:dLbl>
              <c:idx val="3"/>
              <c:layout>
                <c:manualLayout>
                  <c:x val="-0.28136716096648701"/>
                  <c:y val="-8.101851851851851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F97-4B05-8694-AE8DB25006A6}"/>
                </c:ext>
                <c:ext xmlns:c15="http://schemas.microsoft.com/office/drawing/2012/chart" uri="{CE6537A1-D6FC-4f65-9D91-7224C49458BB}">
                  <c15:layout>
                    <c:manualLayout>
                      <c:w val="0.22730555555555557"/>
                      <c:h val="0.11097222222222222"/>
                    </c:manualLayout>
                  </c15:layout>
                </c:ext>
              </c:extLst>
            </c:dLbl>
            <c:dLbl>
              <c:idx val="4"/>
              <c:layout>
                <c:manualLayout>
                  <c:x val="-0.15344881237103924"/>
                  <c:y val="-8.796296296296297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F97-4B05-8694-AE8DB25006A6}"/>
                </c:ext>
                <c:ext xmlns:c15="http://schemas.microsoft.com/office/drawing/2012/chart" uri="{CE6537A1-D6FC-4f65-9D91-7224C49458BB}">
                  <c15:layout>
                    <c:manualLayout>
                      <c:w val="0.20191972878390202"/>
                      <c:h val="0.11560185185185186"/>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'[grafico dani.xlsx]Planilha1'!$E$30:$I$30</c:f>
              <c:numCache>
                <c:formatCode>General</c:formatCode>
                <c:ptCount val="5"/>
                <c:pt idx="0">
                  <c:v>2020</c:v>
                </c:pt>
                <c:pt idx="1">
                  <c:v>2021</c:v>
                </c:pt>
                <c:pt idx="2">
                  <c:v>2022</c:v>
                </c:pt>
                <c:pt idx="3">
                  <c:v>2023</c:v>
                </c:pt>
                <c:pt idx="4">
                  <c:v>2024</c:v>
                </c:pt>
              </c:numCache>
            </c:numRef>
          </c:cat>
          <c:val>
            <c:numRef>
              <c:f>'[grafico dani.xlsx]Planilha1'!$E$34:$I$34</c:f>
              <c:numCache>
                <c:formatCode>"R$"#,##0.00</c:formatCode>
                <c:ptCount val="5"/>
                <c:pt idx="0">
                  <c:v>445532011.75</c:v>
                </c:pt>
                <c:pt idx="1">
                  <c:v>453625101.69769996</c:v>
                </c:pt>
                <c:pt idx="2">
                  <c:v>461871877.94148093</c:v>
                </c:pt>
                <c:pt idx="3">
                  <c:v>470275332.45223582</c:v>
                </c:pt>
                <c:pt idx="4">
                  <c:v>478838516.22272503</c:v>
                </c:pt>
              </c:numCache>
            </c:numRef>
          </c:val>
          <c:smooth val="0"/>
          <c:extLst xmlns:c16r2="http://schemas.microsoft.com/office/drawing/2015/06/chart">
            <c:ext xmlns:c16="http://schemas.microsoft.com/office/drawing/2014/chart" uri="{C3380CC4-5D6E-409C-BE32-E72D297353CC}">
              <c16:uniqueId val="{00000005-BF97-4B05-8694-AE8DB25006A6}"/>
            </c:ext>
          </c:extLst>
        </c:ser>
        <c:dLbls>
          <c:dLblPos val="ctr"/>
          <c:showLegendKey val="0"/>
          <c:showVal val="1"/>
          <c:showCatName val="0"/>
          <c:showSerName val="0"/>
          <c:showPercent val="0"/>
          <c:showBubbleSize val="0"/>
        </c:dLbls>
        <c:smooth val="0"/>
        <c:axId val="1099003216"/>
        <c:axId val="1099001040"/>
      </c:lineChart>
      <c:catAx>
        <c:axId val="109900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1099001040"/>
        <c:crosses val="autoZero"/>
        <c:auto val="1"/>
        <c:lblAlgn val="ctr"/>
        <c:lblOffset val="100"/>
        <c:noMultiLvlLbl val="0"/>
      </c:catAx>
      <c:valAx>
        <c:axId val="1099001040"/>
        <c:scaling>
          <c:orientation val="minMax"/>
        </c:scaling>
        <c:delete val="0"/>
        <c:axPos val="l"/>
        <c:majorGridlines>
          <c:spPr>
            <a:ln w="9525" cap="flat" cmpd="sng" algn="ctr">
              <a:solidFill>
                <a:schemeClr val="tx1">
                  <a:lumMod val="15000"/>
                  <a:lumOff val="85000"/>
                </a:schemeClr>
              </a:solidFill>
              <a:round/>
            </a:ln>
            <a:effectLst/>
          </c:spPr>
        </c:majorGridlines>
        <c:numFmt formatCode="&quot;R$&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1099003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DD332-0BDA-4D42-A796-92B2FF81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1774</Words>
  <Characters>9581</Characters>
  <Application>Microsoft Office Word</Application>
  <DocSecurity>0</DocSecurity>
  <Lines>79</Lines>
  <Paragraphs>22</Paragraphs>
  <ScaleCrop>false</ScaleCrop>
  <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Nogueira e Silva</dc:creator>
  <cp:keywords/>
  <dc:description/>
  <cp:lastModifiedBy>Ana Paula Nogueira e Silva</cp:lastModifiedBy>
  <cp:revision>9</cp:revision>
  <dcterms:created xsi:type="dcterms:W3CDTF">2019-11-27T13:02:00Z</dcterms:created>
  <dcterms:modified xsi:type="dcterms:W3CDTF">2019-11-27T13:38:00Z</dcterms:modified>
</cp:coreProperties>
</file>