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D6D4" w14:textId="77777777" w:rsidR="00AB2149" w:rsidRPr="003C6BB0" w:rsidRDefault="006F4966" w:rsidP="006F4966">
      <w:pPr>
        <w:jc w:val="center"/>
        <w:rPr>
          <w:b/>
        </w:rPr>
      </w:pPr>
      <w:r w:rsidRPr="003C6BB0">
        <w:rPr>
          <w:b/>
        </w:rPr>
        <w:t xml:space="preserve">PDI 2020-2024 do </w:t>
      </w:r>
      <w:proofErr w:type="spellStart"/>
      <w:r w:rsidRPr="003C6BB0">
        <w:rPr>
          <w:b/>
        </w:rPr>
        <w:t>IFSul</w:t>
      </w:r>
      <w:proofErr w:type="spellEnd"/>
      <w:r w:rsidRPr="003C6BB0">
        <w:rPr>
          <w:b/>
        </w:rPr>
        <w:t xml:space="preserve"> – Consulta à comunidade</w:t>
      </w:r>
    </w:p>
    <w:p w14:paraId="63766EC3" w14:textId="77777777" w:rsidR="004F4C7F" w:rsidRPr="004F4C7F" w:rsidRDefault="004F4C7F" w:rsidP="001D2A0A">
      <w:pPr>
        <w:jc w:val="both"/>
        <w:rPr>
          <w:b/>
        </w:rPr>
      </w:pPr>
      <w:r w:rsidRPr="004F4C7F">
        <w:rPr>
          <w:b/>
        </w:rPr>
        <w:t>1. Introdução</w:t>
      </w:r>
    </w:p>
    <w:p w14:paraId="51841052" w14:textId="77777777" w:rsidR="004F4C7F" w:rsidRDefault="004F4C7F" w:rsidP="001D2A0A">
      <w:pPr>
        <w:jc w:val="both"/>
      </w:pPr>
      <w:r w:rsidRPr="004F4C7F">
        <w:t xml:space="preserve">O Plano de Desenvolvimento Institucional (PDI) do </w:t>
      </w:r>
      <w:proofErr w:type="spellStart"/>
      <w:r w:rsidRPr="004F4C7F">
        <w:t>IFSul</w:t>
      </w:r>
      <w:proofErr w:type="spellEnd"/>
      <w:r w:rsidRPr="004F4C7F">
        <w:t xml:space="preserve"> é o documento que apresenta os compromissos da instituição com a sociedad</w:t>
      </w:r>
      <w:r>
        <w:t>e para um período de cinco anos e expressa em seus diversos capítulos essas intenções.</w:t>
      </w:r>
    </w:p>
    <w:p w14:paraId="5272FFB1" w14:textId="59D1AD50" w:rsidR="006F4966" w:rsidRDefault="006F4966" w:rsidP="001D2A0A">
      <w:pPr>
        <w:jc w:val="both"/>
      </w:pPr>
      <w:r>
        <w:t>Conforme plano de trabalho aprovado pelo Conselho Superior</w:t>
      </w:r>
      <w:r w:rsidR="00BE58EC">
        <w:t xml:space="preserve"> (CONSUP)</w:t>
      </w:r>
      <w:r>
        <w:t xml:space="preserve">, o processo de elaboração do Plano de Desenvolvimento Institucional (PDI) 2020-2024 do </w:t>
      </w:r>
      <w:proofErr w:type="spellStart"/>
      <w:r>
        <w:t>IFSul</w:t>
      </w:r>
      <w:proofErr w:type="spellEnd"/>
      <w:r>
        <w:t xml:space="preserve"> contou com uma série de comissões responsáveis por diferentes etapas e atividades relacionadas ao documento, sob coordenação da Comissão Central.</w:t>
      </w:r>
    </w:p>
    <w:p w14:paraId="20C80457" w14:textId="77777777" w:rsidR="006F4966" w:rsidRDefault="006F4966" w:rsidP="001D2A0A">
      <w:pPr>
        <w:jc w:val="both"/>
      </w:pPr>
      <w:r>
        <w:t>Para cada um dos capítulos do PDI, a Comissão Central identificou comissões temáticas ou áre</w:t>
      </w:r>
      <w:r w:rsidR="00067A03">
        <w:t>a</w:t>
      </w:r>
      <w:r>
        <w:t xml:space="preserve">s responsáveis pela construção da minuta desses conteúdos, de acordo com a natureza de cada um e em atendimento ao Decreto nº 9.235/2017. </w:t>
      </w:r>
      <w:r w:rsidR="001D2A0A">
        <w:t>Essas minutas buscaram atender os requisitos estabelecidos pela Comissão Central e, dependendo do conteúdo relacionado, a elaboração foi subsidiada por informações prestadas ou construídas a partir da comunidade.</w:t>
      </w:r>
    </w:p>
    <w:p w14:paraId="345B4BAF" w14:textId="77777777" w:rsidR="001D2A0A" w:rsidRDefault="001D2A0A" w:rsidP="001D2A0A">
      <w:pPr>
        <w:jc w:val="both"/>
      </w:pPr>
      <w:r>
        <w:t xml:space="preserve">De posse das minutas entregues pelas Comissões Temáticas e áreas responsáveis, a Comissão Central apresenta à comunidade do </w:t>
      </w:r>
      <w:proofErr w:type="spellStart"/>
      <w:r>
        <w:t>IFSul</w:t>
      </w:r>
      <w:proofErr w:type="spellEnd"/>
      <w:r>
        <w:t xml:space="preserve"> a minuta compilada do PDI 2020-2024, compo</w:t>
      </w:r>
      <w:r w:rsidR="001E2111">
        <w:t>s</w:t>
      </w:r>
      <w:r>
        <w:t>ta pelos seguintes capítulos: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51"/>
        <w:gridCol w:w="5233"/>
      </w:tblGrid>
      <w:tr w:rsidR="001D2A0A" w:rsidRPr="00BE58EC" w14:paraId="1D6FD0FF" w14:textId="77777777" w:rsidTr="00473B6D">
        <w:trPr>
          <w:trHeight w:val="86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33664" w14:textId="77777777" w:rsidR="001D2A0A" w:rsidRPr="00BE58EC" w:rsidRDefault="001D2A0A" w:rsidP="00473B6D">
            <w:pPr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Capítulo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A6E8C" w14:textId="77777777" w:rsidR="001D2A0A" w:rsidRPr="00BE58EC" w:rsidRDefault="001D2A0A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Descrição</w:t>
            </w:r>
          </w:p>
        </w:tc>
      </w:tr>
      <w:tr w:rsidR="001D2A0A" w:rsidRPr="00BE58EC" w14:paraId="4A4B5A21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7BD5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Perfil Institucional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993B" w14:textId="77777777" w:rsidR="001D2A0A" w:rsidRPr="00BE58EC" w:rsidRDefault="001D2A0A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Apresenta a instituição, suas finalidades e objetivos, sua missão, visão e valores, seu histórico e suas áreas de atuação acadêmica e abrangência.</w:t>
            </w:r>
          </w:p>
        </w:tc>
      </w:tr>
      <w:tr w:rsidR="001D2A0A" w:rsidRPr="00BE58EC" w14:paraId="6816AE04" w14:textId="77777777" w:rsidTr="00473B6D">
        <w:trPr>
          <w:trHeight w:val="1368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D7AD4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Planejamento Estratégico 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E04DD" w14:textId="77777777" w:rsidR="001D2A0A" w:rsidRPr="00BE58EC" w:rsidRDefault="00572CFC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Apresenta o planejamento estratégico institucional para os próximos 5 anos, elaborado e consolidado junto à comunidade ao longo de 2019.</w:t>
            </w:r>
          </w:p>
          <w:p w14:paraId="363D50B4" w14:textId="77777777" w:rsidR="00BA06EB" w:rsidRPr="00BE58EC" w:rsidRDefault="00BA06EB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4DC8A1" w14:textId="77777777" w:rsidR="00EC1683" w:rsidRPr="00BE58EC" w:rsidRDefault="00EC1683" w:rsidP="00473B6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*Ressalta-se que o capítulo trouxe um novo método de planejamento </w:t>
            </w:r>
            <w:r w:rsidR="00BA06EB" w:rsidRPr="00BE58EC">
              <w:rPr>
                <w:sz w:val="20"/>
                <w:szCs w:val="20"/>
              </w:rPr>
              <w:t xml:space="preserve">para a instituição </w:t>
            </w:r>
            <w:r w:rsidRPr="00BE58EC">
              <w:rPr>
                <w:sz w:val="20"/>
                <w:szCs w:val="20"/>
              </w:rPr>
              <w:t>e que a partir da aprovação do PDI será complementado até julho de 2020 para consolidação dos indicadores, metas e iniciativas estratégicas.</w:t>
            </w:r>
          </w:p>
        </w:tc>
      </w:tr>
      <w:tr w:rsidR="001D2A0A" w:rsidRPr="00BE58EC" w14:paraId="4B2CE6DF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EAE03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Projeto Pedagógico Institucional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8BC5" w14:textId="77777777" w:rsidR="001D2A0A" w:rsidRPr="00BE58EC" w:rsidRDefault="00115CF7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Apresenta o Projeto Pedagógico Institucional (PPI) do </w:t>
            </w:r>
            <w:proofErr w:type="spellStart"/>
            <w:r w:rsidRPr="00BE58EC">
              <w:rPr>
                <w:sz w:val="20"/>
                <w:szCs w:val="20"/>
              </w:rPr>
              <w:t>IFSul</w:t>
            </w:r>
            <w:proofErr w:type="spellEnd"/>
            <w:r w:rsidRPr="00BE58EC">
              <w:rPr>
                <w:sz w:val="20"/>
                <w:szCs w:val="20"/>
              </w:rPr>
              <w:t xml:space="preserve">, documento que já estava presente no PDI 2014-2019 e que não sofreu alterações por ter sua elaboração e aprovação independentes. </w:t>
            </w:r>
          </w:p>
        </w:tc>
      </w:tr>
      <w:tr w:rsidR="00115CF7" w:rsidRPr="00BE58EC" w14:paraId="00363A8C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DED8" w14:textId="77777777" w:rsidR="00115CF7" w:rsidRPr="00BE58EC" w:rsidRDefault="00115CF7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Organização Didático-pedagógica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EB22D" w14:textId="77777777" w:rsidR="00115CF7" w:rsidRPr="00BE58EC" w:rsidRDefault="00115CF7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Apresenta a Organização Didático-pedagógica (OD) do </w:t>
            </w:r>
            <w:proofErr w:type="spellStart"/>
            <w:r w:rsidRPr="00BE58EC">
              <w:rPr>
                <w:sz w:val="20"/>
                <w:szCs w:val="20"/>
              </w:rPr>
              <w:t>IFSul</w:t>
            </w:r>
            <w:proofErr w:type="spellEnd"/>
            <w:r w:rsidRPr="00BE58EC">
              <w:rPr>
                <w:sz w:val="20"/>
                <w:szCs w:val="20"/>
              </w:rPr>
              <w:t xml:space="preserve">, documento que já estava presente no PDI 2014-2019 e que não sofreu alterações por ter sua elaboração e aprovação independentes. </w:t>
            </w:r>
          </w:p>
        </w:tc>
      </w:tr>
      <w:tr w:rsidR="001D2A0A" w:rsidRPr="00BE58EC" w14:paraId="381A203E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CA4D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Atendimento aos Discentes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C3B6" w14:textId="77777777" w:rsidR="001D2A0A" w:rsidRPr="00BE58EC" w:rsidRDefault="002F60A6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Apresenta </w:t>
            </w:r>
            <w:r w:rsidR="003464BC" w:rsidRPr="00BE58EC">
              <w:rPr>
                <w:sz w:val="20"/>
                <w:szCs w:val="20"/>
              </w:rPr>
              <w:t xml:space="preserve">as formas e oportunidades que o </w:t>
            </w:r>
            <w:proofErr w:type="spellStart"/>
            <w:r w:rsidR="003464BC" w:rsidRPr="00BE58EC">
              <w:rPr>
                <w:sz w:val="20"/>
                <w:szCs w:val="20"/>
              </w:rPr>
              <w:t>IFSul</w:t>
            </w:r>
            <w:proofErr w:type="spellEnd"/>
            <w:r w:rsidR="003464BC" w:rsidRPr="00BE58EC">
              <w:rPr>
                <w:sz w:val="20"/>
                <w:szCs w:val="20"/>
              </w:rPr>
              <w:t xml:space="preserve"> oferece aos seus discentes, abordando acesso, apoio pedagógico, permanência e êxito, assistência estudantil, ações afirmativas, organização estudantil, egresso e mobilidade acadêmica.</w:t>
            </w:r>
          </w:p>
        </w:tc>
      </w:tr>
      <w:tr w:rsidR="001D2A0A" w:rsidRPr="00BE58EC" w14:paraId="355AE9E4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3BF91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Plan</w:t>
            </w:r>
            <w:r w:rsidR="00EE7023" w:rsidRPr="00BE58EC">
              <w:rPr>
                <w:sz w:val="20"/>
                <w:szCs w:val="20"/>
              </w:rPr>
              <w:t>ejamento</w:t>
            </w:r>
            <w:r w:rsidRPr="00BE58EC">
              <w:rPr>
                <w:sz w:val="20"/>
                <w:szCs w:val="20"/>
              </w:rPr>
              <w:t xml:space="preserve"> d</w:t>
            </w:r>
            <w:r w:rsidR="00EE7023" w:rsidRPr="00BE58EC">
              <w:rPr>
                <w:sz w:val="20"/>
                <w:szCs w:val="20"/>
              </w:rPr>
              <w:t>a</w:t>
            </w:r>
            <w:r w:rsidRPr="00BE58EC">
              <w:rPr>
                <w:sz w:val="20"/>
                <w:szCs w:val="20"/>
              </w:rPr>
              <w:t xml:space="preserve"> Oferta de Vagas </w:t>
            </w:r>
            <w:r w:rsidRPr="00BE58EC">
              <w:rPr>
                <w:sz w:val="20"/>
                <w:szCs w:val="20"/>
              </w:rPr>
              <w:lastRenderedPageBreak/>
              <w:t>e de Cursos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8FDBB" w14:textId="77777777" w:rsidR="001D2A0A" w:rsidRPr="00BE58EC" w:rsidRDefault="00457657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lastRenderedPageBreak/>
              <w:t xml:space="preserve">Apresenta o planejamento do </w:t>
            </w:r>
            <w:proofErr w:type="spellStart"/>
            <w:r w:rsidRPr="00BE58EC">
              <w:rPr>
                <w:sz w:val="20"/>
                <w:szCs w:val="20"/>
              </w:rPr>
              <w:t>IFSul</w:t>
            </w:r>
            <w:proofErr w:type="spellEnd"/>
            <w:r w:rsidRPr="00BE58EC">
              <w:rPr>
                <w:sz w:val="20"/>
                <w:szCs w:val="20"/>
              </w:rPr>
              <w:t xml:space="preserve"> para os próximos cinco </w:t>
            </w:r>
            <w:r w:rsidRPr="00BE58EC">
              <w:rPr>
                <w:sz w:val="20"/>
                <w:szCs w:val="20"/>
              </w:rPr>
              <w:lastRenderedPageBreak/>
              <w:t>anos em relação às vagas e cursos que serão ofertados em ca</w:t>
            </w:r>
            <w:r w:rsidR="00C051EF" w:rsidRPr="00BE58EC">
              <w:rPr>
                <w:sz w:val="20"/>
                <w:szCs w:val="20"/>
              </w:rPr>
              <w:t>da uma das suas unidades</w:t>
            </w:r>
            <w:r w:rsidR="00F40340" w:rsidRPr="00BE58EC">
              <w:rPr>
                <w:sz w:val="20"/>
                <w:szCs w:val="20"/>
              </w:rPr>
              <w:t>, bem como perspectivas para o período de vigência do documento em relação às ofertas.</w:t>
            </w:r>
            <w:r w:rsidR="00C051EF" w:rsidRPr="00BE58EC">
              <w:rPr>
                <w:sz w:val="20"/>
                <w:szCs w:val="20"/>
              </w:rPr>
              <w:t xml:space="preserve"> </w:t>
            </w:r>
          </w:p>
        </w:tc>
      </w:tr>
      <w:tr w:rsidR="001D2A0A" w:rsidRPr="00BE58EC" w14:paraId="3108BAFB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BAC83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lastRenderedPageBreak/>
              <w:t>Infraestrutura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611E1" w14:textId="77777777" w:rsidR="001D2A0A" w:rsidRPr="00BE58EC" w:rsidRDefault="008B631E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Apresenta o diagnóstico da infraestrutura atual da instituição em cada uma das suas unidades, contemp</w:t>
            </w:r>
            <w:r w:rsidR="005F70E1" w:rsidRPr="00BE58EC">
              <w:rPr>
                <w:sz w:val="20"/>
                <w:szCs w:val="20"/>
              </w:rPr>
              <w:t>lando a infraestrutura física e acadêmica, bem como o detalhamento relacionado às bibliotecas da instituição.</w:t>
            </w:r>
          </w:p>
        </w:tc>
      </w:tr>
      <w:tr w:rsidR="001D2A0A" w:rsidRPr="00BE58EC" w14:paraId="05E98AC3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A0BA5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Gestão de Pessoas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D9854" w14:textId="77777777" w:rsidR="001D2A0A" w:rsidRPr="00BE58EC" w:rsidRDefault="00EE7023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Apresenta as informações sobre servidores e tutores de educação à distância</w:t>
            </w:r>
            <w:r w:rsidR="00404431" w:rsidRPr="00BE58EC">
              <w:rPr>
                <w:sz w:val="20"/>
                <w:szCs w:val="20"/>
              </w:rPr>
              <w:t>.</w:t>
            </w:r>
          </w:p>
        </w:tc>
      </w:tr>
      <w:tr w:rsidR="001D2A0A" w:rsidRPr="00BE58EC" w14:paraId="6F85DD6F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0FD0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Organização Administrativa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48883" w14:textId="77777777" w:rsidR="001D2A0A" w:rsidRPr="00BE58EC" w:rsidRDefault="005D701C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Apresenta a organização administrativa do </w:t>
            </w:r>
            <w:proofErr w:type="spellStart"/>
            <w:r w:rsidRPr="00BE58EC">
              <w:rPr>
                <w:sz w:val="20"/>
                <w:szCs w:val="20"/>
              </w:rPr>
              <w:t>IFSul</w:t>
            </w:r>
            <w:proofErr w:type="spellEnd"/>
            <w:r w:rsidRPr="00BE58EC">
              <w:rPr>
                <w:sz w:val="20"/>
                <w:szCs w:val="20"/>
              </w:rPr>
              <w:t xml:space="preserve"> e suas políticas de gestão</w:t>
            </w:r>
            <w:r w:rsidR="00404431" w:rsidRPr="00BE58EC">
              <w:rPr>
                <w:sz w:val="20"/>
                <w:szCs w:val="20"/>
              </w:rPr>
              <w:t>.</w:t>
            </w:r>
          </w:p>
        </w:tc>
      </w:tr>
      <w:tr w:rsidR="001D2A0A" w:rsidRPr="00BE58EC" w14:paraId="314F4C58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CCEFA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BE58EC">
              <w:rPr>
                <w:sz w:val="20"/>
                <w:szCs w:val="20"/>
              </w:rPr>
              <w:t>Capacidade e Sustentabilidade Financeira</w:t>
            </w:r>
            <w:proofErr w:type="gramEnd"/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D3D24" w14:textId="77777777" w:rsidR="001D2A0A" w:rsidRPr="00BE58EC" w:rsidRDefault="00F86558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 xml:space="preserve">Apresenta as informações e estruturação do orçamento do </w:t>
            </w:r>
            <w:proofErr w:type="spellStart"/>
            <w:r w:rsidRPr="00BE58EC">
              <w:rPr>
                <w:sz w:val="20"/>
                <w:szCs w:val="20"/>
              </w:rPr>
              <w:t>IFSul</w:t>
            </w:r>
            <w:proofErr w:type="spellEnd"/>
            <w:r w:rsidR="00404431" w:rsidRPr="00BE58EC">
              <w:rPr>
                <w:sz w:val="20"/>
                <w:szCs w:val="20"/>
              </w:rPr>
              <w:t>.</w:t>
            </w:r>
          </w:p>
        </w:tc>
      </w:tr>
      <w:tr w:rsidR="001D2A0A" w:rsidRPr="00BE58EC" w14:paraId="42E79092" w14:textId="77777777" w:rsidTr="00473B6D">
        <w:trPr>
          <w:trHeight w:val="20"/>
          <w:jc w:val="center"/>
        </w:trPr>
        <w:tc>
          <w:tcPr>
            <w:tcW w:w="19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0A3A2" w14:textId="77777777" w:rsidR="001D2A0A" w:rsidRPr="00BE58EC" w:rsidRDefault="001D2A0A" w:rsidP="00473B6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Acompanhamento e Avaliação do Plano de Desenvolvimento Institucional</w:t>
            </w:r>
          </w:p>
        </w:tc>
        <w:tc>
          <w:tcPr>
            <w:tcW w:w="30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26B9F" w14:textId="77777777" w:rsidR="001D2A0A" w:rsidRPr="00BE58EC" w:rsidRDefault="00164F51" w:rsidP="00473B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58EC">
              <w:rPr>
                <w:sz w:val="20"/>
                <w:szCs w:val="20"/>
              </w:rPr>
              <w:t>Apresenta como será feito o acompanhamento da execução deste PDI e os procedimento de avaliação da instituição.</w:t>
            </w:r>
          </w:p>
        </w:tc>
      </w:tr>
    </w:tbl>
    <w:p w14:paraId="48A21AC3" w14:textId="77777777" w:rsidR="001D2A0A" w:rsidRDefault="001D2A0A"/>
    <w:p w14:paraId="0DE98FFF" w14:textId="77777777" w:rsidR="001E2111" w:rsidRPr="002B77AF" w:rsidRDefault="00434DA6" w:rsidP="00E604CC">
      <w:pPr>
        <w:jc w:val="both"/>
        <w:rPr>
          <w:b/>
        </w:rPr>
      </w:pPr>
      <w:bookmarkStart w:id="0" w:name="_GoBack"/>
      <w:r>
        <w:rPr>
          <w:b/>
        </w:rPr>
        <w:t xml:space="preserve">2. </w:t>
      </w:r>
      <w:r w:rsidR="0034678C" w:rsidRPr="002B77AF">
        <w:rPr>
          <w:b/>
        </w:rPr>
        <w:t>Consulta à comunidade</w:t>
      </w:r>
    </w:p>
    <w:p w14:paraId="5445E55B" w14:textId="77777777" w:rsidR="0034678C" w:rsidRDefault="0034678C" w:rsidP="00E604CC">
      <w:pPr>
        <w:jc w:val="both"/>
      </w:pPr>
      <w:r>
        <w:t xml:space="preserve">Como fechamento do processo de elaboração do PDI 2020-2024 do </w:t>
      </w:r>
      <w:proofErr w:type="spellStart"/>
      <w:r>
        <w:t>IFSul</w:t>
      </w:r>
      <w:proofErr w:type="spellEnd"/>
      <w:r>
        <w:t>, a Comissão Central submete a minuta do documento à apreciação da comunidade, com as seguintes finalidades:</w:t>
      </w:r>
    </w:p>
    <w:p w14:paraId="187CA4FC" w14:textId="095896D3" w:rsidR="0034678C" w:rsidRDefault="0034678C" w:rsidP="00E604CC">
      <w:pPr>
        <w:pStyle w:val="PargrafodaLista"/>
        <w:numPr>
          <w:ilvl w:val="0"/>
          <w:numId w:val="2"/>
        </w:numPr>
        <w:jc w:val="both"/>
      </w:pPr>
      <w:r>
        <w:t xml:space="preserve">Dar transparência ao PDI que será levado à apreciação do </w:t>
      </w:r>
      <w:r w:rsidR="00BE58EC">
        <w:t>CONSUP</w:t>
      </w:r>
      <w:r>
        <w:t>;</w:t>
      </w:r>
    </w:p>
    <w:p w14:paraId="00D2119F" w14:textId="77777777" w:rsidR="0034678C" w:rsidRDefault="0034678C" w:rsidP="00E604CC">
      <w:pPr>
        <w:pStyle w:val="PargrafodaLista"/>
        <w:numPr>
          <w:ilvl w:val="0"/>
          <w:numId w:val="2"/>
        </w:numPr>
        <w:jc w:val="both"/>
      </w:pPr>
      <w:r>
        <w:t>Possibilitar a identificação de erros, incongruências ou algum assunto cuja abordagem tenha sido feita de maneira defasada ou incompleta; e</w:t>
      </w:r>
    </w:p>
    <w:p w14:paraId="15FAAB79" w14:textId="77777777" w:rsidR="0034678C" w:rsidRDefault="0034678C" w:rsidP="00E604CC">
      <w:pPr>
        <w:pStyle w:val="PargrafodaLista"/>
        <w:numPr>
          <w:ilvl w:val="0"/>
          <w:numId w:val="2"/>
        </w:numPr>
        <w:jc w:val="both"/>
      </w:pPr>
      <w:r>
        <w:t>Fornecer subsídios para tomadas de decisão da Comissão Central e órgãos colegiados envolvidos na aprovação do PDI.</w:t>
      </w:r>
    </w:p>
    <w:p w14:paraId="4C9108F7" w14:textId="77777777" w:rsidR="00CE0277" w:rsidRPr="002B77AF" w:rsidRDefault="00434DA6" w:rsidP="00E604CC">
      <w:pPr>
        <w:jc w:val="both"/>
        <w:rPr>
          <w:b/>
        </w:rPr>
      </w:pPr>
      <w:r>
        <w:rPr>
          <w:b/>
        </w:rPr>
        <w:t xml:space="preserve">2.1 </w:t>
      </w:r>
      <w:r w:rsidR="00CE0277" w:rsidRPr="002B77AF">
        <w:rPr>
          <w:b/>
        </w:rPr>
        <w:t>Participação da comunidade na consulta</w:t>
      </w:r>
    </w:p>
    <w:p w14:paraId="7311C00F" w14:textId="77777777" w:rsidR="00CE0277" w:rsidRDefault="008314D8" w:rsidP="00E604CC">
      <w:pPr>
        <w:jc w:val="both"/>
      </w:pPr>
      <w:r>
        <w:t xml:space="preserve">A comunidade do </w:t>
      </w:r>
      <w:proofErr w:type="spellStart"/>
      <w:r>
        <w:t>IFSul</w:t>
      </w:r>
      <w:proofErr w:type="spellEnd"/>
      <w:r>
        <w:t xml:space="preserve"> poderá participar da consulta por meio de formulário eletrônico que estará disponível no site </w:t>
      </w:r>
      <w:hyperlink r:id="rId5" w:history="1">
        <w:r w:rsidRPr="009A6011">
          <w:rPr>
            <w:rStyle w:val="Hyperlink"/>
          </w:rPr>
          <w:t>www.ifsul.edu.br/pdi</w:t>
        </w:r>
      </w:hyperlink>
      <w:r w:rsidR="002B77AF">
        <w:t xml:space="preserve">, no período de 10/02/2020 a </w:t>
      </w:r>
      <w:r w:rsidR="00624E42">
        <w:t>06/03</w:t>
      </w:r>
      <w:r w:rsidR="002B77AF">
        <w:t xml:space="preserve">/2020. </w:t>
      </w:r>
    </w:p>
    <w:p w14:paraId="0B01FD2F" w14:textId="77777777" w:rsidR="008314D8" w:rsidRDefault="002B77AF" w:rsidP="00E604CC">
      <w:pPr>
        <w:jc w:val="both"/>
      </w:pPr>
      <w:r>
        <w:t xml:space="preserve">A minuta do PDI 2020-2024 do </w:t>
      </w:r>
      <w:proofErr w:type="spellStart"/>
      <w:r>
        <w:t>IFSul</w:t>
      </w:r>
      <w:proofErr w:type="spellEnd"/>
      <w:r>
        <w:t xml:space="preserve"> também estará disponível nesse mesmo endereço eletrônico.</w:t>
      </w:r>
    </w:p>
    <w:p w14:paraId="665A9FC1" w14:textId="77777777" w:rsidR="002B77AF" w:rsidRPr="002B77AF" w:rsidRDefault="002B77AF" w:rsidP="00E604CC">
      <w:pPr>
        <w:jc w:val="both"/>
        <w:rPr>
          <w:b/>
        </w:rPr>
      </w:pPr>
      <w:r w:rsidRPr="002B77AF">
        <w:rPr>
          <w:b/>
        </w:rPr>
        <w:t>Como participar?</w:t>
      </w:r>
    </w:p>
    <w:p w14:paraId="3DAFAB58" w14:textId="77777777" w:rsidR="002B77AF" w:rsidRDefault="002B77AF" w:rsidP="00E604CC">
      <w:pPr>
        <w:jc w:val="both"/>
      </w:pPr>
      <w:r>
        <w:t>1º Passo: Identifique os capítulos do PDI para saber sobre qual deles você deseja contribuir</w:t>
      </w:r>
    </w:p>
    <w:p w14:paraId="174D2EF4" w14:textId="77777777" w:rsidR="002B77AF" w:rsidRDefault="002B77AF" w:rsidP="00E604CC">
      <w:pPr>
        <w:jc w:val="both"/>
      </w:pPr>
      <w:r>
        <w:t>2º Passo: Abra a minuta do PDI e faça a leitura dos capítulos sobre os quais você deseja contribuir</w:t>
      </w:r>
    </w:p>
    <w:p w14:paraId="070F1445" w14:textId="77777777" w:rsidR="002B77AF" w:rsidRDefault="001D699B" w:rsidP="00E604CC">
      <w:pPr>
        <w:jc w:val="both"/>
      </w:pPr>
      <w:r>
        <w:t>3º Passo: Acesse</w:t>
      </w:r>
      <w:r w:rsidR="002B77AF">
        <w:t xml:space="preserve"> o link do formulário eletrônico (link)</w:t>
      </w:r>
    </w:p>
    <w:p w14:paraId="6889556F" w14:textId="77777777" w:rsidR="002B77AF" w:rsidRDefault="002B77AF" w:rsidP="00E604CC">
      <w:pPr>
        <w:jc w:val="both"/>
      </w:pPr>
      <w:r>
        <w:t>4º Passo: Preencha os dados de identificação</w:t>
      </w:r>
    </w:p>
    <w:p w14:paraId="779F7044" w14:textId="77777777" w:rsidR="002B77AF" w:rsidRDefault="002B77AF" w:rsidP="00E604CC">
      <w:pPr>
        <w:jc w:val="both"/>
      </w:pPr>
      <w:r>
        <w:t>5º Passo: Registre sua contribuição, identificando o capítulo desejado, de acordo com as finalidades da consulta</w:t>
      </w:r>
    </w:p>
    <w:p w14:paraId="3AA2E4F4" w14:textId="77777777" w:rsidR="00057956" w:rsidRDefault="00057956" w:rsidP="00E604CC">
      <w:pPr>
        <w:jc w:val="both"/>
      </w:pPr>
      <w:r>
        <w:lastRenderedPageBreak/>
        <w:t xml:space="preserve">Os capítulos </w:t>
      </w:r>
      <w:r w:rsidRPr="00057956">
        <w:t>3.</w:t>
      </w:r>
      <w:r>
        <w:t xml:space="preserve"> </w:t>
      </w:r>
      <w:r w:rsidRPr="00057956">
        <w:t>Projeto Pedagógico Institucional</w:t>
      </w:r>
      <w:r>
        <w:t xml:space="preserve"> e </w:t>
      </w:r>
      <w:r w:rsidRPr="00057956">
        <w:t>4.</w:t>
      </w:r>
      <w:r>
        <w:t xml:space="preserve"> </w:t>
      </w:r>
      <w:r w:rsidRPr="00057956">
        <w:t>Organização Didático-pedagógica</w:t>
      </w:r>
      <w:r>
        <w:t xml:space="preserve"> não fazem parte da consulta pois são documentos já aprovados separadamente e que não sofreram alterações em relação ao que está vigente.</w:t>
      </w:r>
    </w:p>
    <w:p w14:paraId="76C6AEC6" w14:textId="1B453558" w:rsidR="008B7440" w:rsidRPr="0032642F" w:rsidRDefault="008B7440" w:rsidP="00E604CC">
      <w:pPr>
        <w:jc w:val="both"/>
        <w:rPr>
          <w:b/>
        </w:rPr>
      </w:pPr>
      <w:r w:rsidRPr="0032642F">
        <w:rPr>
          <w:b/>
        </w:rPr>
        <w:t>2.</w:t>
      </w:r>
      <w:r>
        <w:rPr>
          <w:b/>
        </w:rPr>
        <w:t>2</w:t>
      </w:r>
      <w:r w:rsidRPr="0032642F">
        <w:rPr>
          <w:b/>
        </w:rPr>
        <w:t xml:space="preserve"> Orientações gerais para a consulta</w:t>
      </w:r>
    </w:p>
    <w:p w14:paraId="3F2BEA99" w14:textId="36570A6B" w:rsidR="008B7440" w:rsidRDefault="008B7440" w:rsidP="00E604CC">
      <w:pPr>
        <w:jc w:val="both"/>
      </w:pPr>
      <w:r>
        <w:t>Todas as sugestões deverão apresentar justificativa,</w:t>
      </w:r>
      <w:r>
        <w:t xml:space="preserve"> para isso o participante ao registrar sua contribuição deverá apresentar a justificativa para a mesma.</w:t>
      </w:r>
    </w:p>
    <w:p w14:paraId="49689D2D" w14:textId="3A732562" w:rsidR="008B7440" w:rsidRDefault="008B7440" w:rsidP="00E604CC">
      <w:pPr>
        <w:jc w:val="both"/>
      </w:pPr>
      <w:r>
        <w:t>Não serão aceitas sugestões que contenham palavras ofensivas, abusivas, pejorativas, discriminatórias de qualquer natureza, desconexas ou impertinentes com os temas propostos na minuta do PDI.</w:t>
      </w:r>
      <w:r w:rsidR="006429F6">
        <w:t xml:space="preserve"> </w:t>
      </w:r>
      <w:r>
        <w:t>Não serão aceitos dados falsos ou inexistentes.</w:t>
      </w:r>
      <w:r w:rsidR="006429F6">
        <w:t xml:space="preserve"> </w:t>
      </w:r>
      <w:r>
        <w:t xml:space="preserve">As sugestões que não seguirem </w:t>
      </w:r>
      <w:r w:rsidR="006429F6">
        <w:t>essas</w:t>
      </w:r>
      <w:r>
        <w:t xml:space="preserve"> orientações não serão consideradas para análise.</w:t>
      </w:r>
    </w:p>
    <w:p w14:paraId="16362F0C" w14:textId="593029C1" w:rsidR="002B77AF" w:rsidRPr="002B77AF" w:rsidRDefault="008B7440" w:rsidP="00E604CC">
      <w:pPr>
        <w:jc w:val="both"/>
        <w:rPr>
          <w:b/>
        </w:rPr>
      </w:pPr>
      <w:r>
        <w:rPr>
          <w:b/>
        </w:rPr>
        <w:t>2.3</w:t>
      </w:r>
      <w:r w:rsidR="00434DA6">
        <w:rPr>
          <w:b/>
        </w:rPr>
        <w:t xml:space="preserve"> </w:t>
      </w:r>
      <w:r w:rsidR="002B77AF" w:rsidRPr="002B77AF">
        <w:rPr>
          <w:b/>
        </w:rPr>
        <w:t>Resultado da consulta</w:t>
      </w:r>
    </w:p>
    <w:p w14:paraId="37B7A0FF" w14:textId="36DCA591" w:rsidR="002B77AF" w:rsidRDefault="002B77AF" w:rsidP="00E604CC">
      <w:pPr>
        <w:jc w:val="both"/>
      </w:pPr>
      <w:r>
        <w:t>Após o período em que o formulário eletrônico estará disponível para receber as contribuições da comu</w:t>
      </w:r>
      <w:r w:rsidR="004E50E7">
        <w:t>nidade, a Comissão Central fará a sistematização das informações coletadas e a avaliação dos resultados da consulta. Essa avaliação permitirá identificar quais contribuições poderão ser incorporadas à mi</w:t>
      </w:r>
      <w:r w:rsidR="00BE58EC">
        <w:t xml:space="preserve">nuta do PDI 2020-2024 do </w:t>
      </w:r>
      <w:proofErr w:type="spellStart"/>
      <w:r w:rsidR="00BE58EC">
        <w:t>IFSul</w:t>
      </w:r>
      <w:proofErr w:type="spellEnd"/>
      <w:r w:rsidR="00BE58EC">
        <w:t>, para finalização do documento e apresentação ao CONSUP.</w:t>
      </w:r>
    </w:p>
    <w:p w14:paraId="1AA834F9" w14:textId="0644587A" w:rsidR="004E50E7" w:rsidRDefault="004E50E7" w:rsidP="00E604CC">
      <w:pPr>
        <w:jc w:val="both"/>
      </w:pPr>
      <w:r w:rsidRPr="00BE58EC">
        <w:t>O CONSUP fará a apreciação do</w:t>
      </w:r>
      <w:r w:rsidR="00BE58EC" w:rsidRPr="00BE58EC">
        <w:t xml:space="preserve"> documento</w:t>
      </w:r>
      <w:r w:rsidRPr="00BE58EC">
        <w:t xml:space="preserve"> final do PDI 2020-2024 do </w:t>
      </w:r>
      <w:proofErr w:type="spellStart"/>
      <w:r w:rsidRPr="00BE58EC">
        <w:t>IFSul</w:t>
      </w:r>
      <w:proofErr w:type="spellEnd"/>
      <w:r w:rsidRPr="00BE58EC">
        <w:t xml:space="preserve"> e procederá a</w:t>
      </w:r>
      <w:r w:rsidR="00BE58EC">
        <w:t xml:space="preserve"> votação de</w:t>
      </w:r>
      <w:r w:rsidRPr="00BE58EC">
        <w:t xml:space="preserve"> sua aprovação.</w:t>
      </w:r>
    </w:p>
    <w:p w14:paraId="4205023C" w14:textId="77777777" w:rsidR="004E50E7" w:rsidRDefault="004E50E7" w:rsidP="00E604CC">
      <w:pPr>
        <w:jc w:val="both"/>
      </w:pPr>
      <w:r>
        <w:t>Após aprovação do CONSUP, a Diretoria de Desenvolvimento Institucional (DDI) providenciará os ajustes finais do documento, contemplando padronização da formatação e diagramação.</w:t>
      </w:r>
    </w:p>
    <w:p w14:paraId="5533801A" w14:textId="77777777" w:rsidR="008E725F" w:rsidRPr="004F4C7F" w:rsidRDefault="00434DA6" w:rsidP="00E604CC">
      <w:pPr>
        <w:jc w:val="both"/>
        <w:rPr>
          <w:b/>
        </w:rPr>
      </w:pPr>
      <w:r>
        <w:rPr>
          <w:b/>
        </w:rPr>
        <w:t xml:space="preserve">3. </w:t>
      </w:r>
      <w:r w:rsidR="008E725F" w:rsidRPr="004F4C7F">
        <w:rPr>
          <w:b/>
        </w:rPr>
        <w:t xml:space="preserve">Cronograma de apresentação do PDI 2020-2024 do </w:t>
      </w:r>
      <w:proofErr w:type="spellStart"/>
      <w:r w:rsidR="008E725F" w:rsidRPr="004F4C7F">
        <w:rPr>
          <w:b/>
        </w:rPr>
        <w:t>IFSul</w:t>
      </w:r>
      <w:proofErr w:type="spellEnd"/>
    </w:p>
    <w:p w14:paraId="33C64A26" w14:textId="77777777" w:rsidR="008E725F" w:rsidRDefault="008E725F" w:rsidP="00E604CC">
      <w:pPr>
        <w:jc w:val="both"/>
      </w:pPr>
      <w:r>
        <w:t>A Comissão Central definiu as seguintes datas para a consulta à comunidade e para o encaminhamento do documento ao CONSUP:</w:t>
      </w:r>
    </w:p>
    <w:p w14:paraId="59177270" w14:textId="77777777" w:rsidR="008E725F" w:rsidRDefault="008E725F" w:rsidP="00E604CC">
      <w:pPr>
        <w:jc w:val="both"/>
      </w:pPr>
      <w:r>
        <w:t>- 10/02/2020: abertura da consulta à comunidade</w:t>
      </w:r>
    </w:p>
    <w:p w14:paraId="738E1C55" w14:textId="77777777" w:rsidR="008E725F" w:rsidRDefault="008E725F" w:rsidP="00E604CC">
      <w:pPr>
        <w:jc w:val="both"/>
      </w:pPr>
      <w:r>
        <w:t xml:space="preserve">- </w:t>
      </w:r>
      <w:r w:rsidR="00067BAC">
        <w:t>06/03</w:t>
      </w:r>
      <w:r>
        <w:t>/2020: encerramento da consulta à comunidade</w:t>
      </w:r>
    </w:p>
    <w:p w14:paraId="2DE1ED6E" w14:textId="23F76406" w:rsidR="008E725F" w:rsidRDefault="008E725F" w:rsidP="00E604CC">
      <w:pPr>
        <w:jc w:val="both"/>
      </w:pPr>
      <w:r>
        <w:t xml:space="preserve">- </w:t>
      </w:r>
      <w:r w:rsidR="00067BAC">
        <w:t>0</w:t>
      </w:r>
      <w:r w:rsidR="0062098D">
        <w:t>9</w:t>
      </w:r>
      <w:r>
        <w:t xml:space="preserve">/03/2020 a </w:t>
      </w:r>
      <w:r w:rsidR="00067BAC">
        <w:t>13</w:t>
      </w:r>
      <w:r>
        <w:t xml:space="preserve">/03/2020: sistematização dos resultados </w:t>
      </w:r>
    </w:p>
    <w:p w14:paraId="4F5E54E0" w14:textId="634E759B" w:rsidR="00324F18" w:rsidRDefault="00324F18" w:rsidP="00E604CC">
      <w:pPr>
        <w:jc w:val="both"/>
      </w:pPr>
      <w:r>
        <w:t xml:space="preserve">- </w:t>
      </w:r>
      <w:r w:rsidR="00067BAC">
        <w:t>1</w:t>
      </w:r>
      <w:r w:rsidR="00092F2D">
        <w:t>6</w:t>
      </w:r>
      <w:r>
        <w:t xml:space="preserve">/03/2020 a </w:t>
      </w:r>
      <w:r w:rsidR="00067BAC">
        <w:t>2</w:t>
      </w:r>
      <w:r w:rsidR="00092F2D">
        <w:t>0</w:t>
      </w:r>
      <w:r>
        <w:t>/0</w:t>
      </w:r>
      <w:r w:rsidR="00DC6A77">
        <w:t>3/2020: finalização do documento</w:t>
      </w:r>
    </w:p>
    <w:p w14:paraId="70EAECE3" w14:textId="27207A0F" w:rsidR="00DC6A77" w:rsidRDefault="00DC6A77" w:rsidP="00E604CC">
      <w:pPr>
        <w:jc w:val="both"/>
      </w:pPr>
      <w:r>
        <w:t xml:space="preserve">- </w:t>
      </w:r>
      <w:r w:rsidR="00067BAC">
        <w:t>2</w:t>
      </w:r>
      <w:r w:rsidR="00092F2D">
        <w:t>3</w:t>
      </w:r>
      <w:r>
        <w:t xml:space="preserve">/03/2020: entrega da minuta do PDI 2020-2024 do </w:t>
      </w:r>
      <w:proofErr w:type="spellStart"/>
      <w:r>
        <w:t>IFSul</w:t>
      </w:r>
      <w:proofErr w:type="spellEnd"/>
      <w:r>
        <w:t xml:space="preserve"> ao CONSUP</w:t>
      </w:r>
      <w:bookmarkEnd w:id="0"/>
    </w:p>
    <w:sectPr w:rsidR="00DC6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52A"/>
    <w:multiLevelType w:val="hybridMultilevel"/>
    <w:tmpl w:val="3036E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9B5"/>
    <w:multiLevelType w:val="hybridMultilevel"/>
    <w:tmpl w:val="1804C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6"/>
    <w:rsid w:val="00057956"/>
    <w:rsid w:val="00067A03"/>
    <w:rsid w:val="00067BAC"/>
    <w:rsid w:val="00092F2D"/>
    <w:rsid w:val="00115CF7"/>
    <w:rsid w:val="00164F51"/>
    <w:rsid w:val="00171552"/>
    <w:rsid w:val="001D2A0A"/>
    <w:rsid w:val="001D699B"/>
    <w:rsid w:val="001E0309"/>
    <w:rsid w:val="001E2111"/>
    <w:rsid w:val="002B77AF"/>
    <w:rsid w:val="002F60A6"/>
    <w:rsid w:val="00324F18"/>
    <w:rsid w:val="0032642F"/>
    <w:rsid w:val="003464BC"/>
    <w:rsid w:val="0034678C"/>
    <w:rsid w:val="003C6BB0"/>
    <w:rsid w:val="00404431"/>
    <w:rsid w:val="00434DA6"/>
    <w:rsid w:val="00457657"/>
    <w:rsid w:val="00473B6D"/>
    <w:rsid w:val="004E50E7"/>
    <w:rsid w:val="004F4C7F"/>
    <w:rsid w:val="00512C1B"/>
    <w:rsid w:val="00534A17"/>
    <w:rsid w:val="00535658"/>
    <w:rsid w:val="00572CFC"/>
    <w:rsid w:val="005C390C"/>
    <w:rsid w:val="005D701C"/>
    <w:rsid w:val="005F70E1"/>
    <w:rsid w:val="00601306"/>
    <w:rsid w:val="0062098D"/>
    <w:rsid w:val="00624E42"/>
    <w:rsid w:val="006429F6"/>
    <w:rsid w:val="006F4966"/>
    <w:rsid w:val="00723563"/>
    <w:rsid w:val="00791EA3"/>
    <w:rsid w:val="008314D8"/>
    <w:rsid w:val="008B631E"/>
    <w:rsid w:val="008B7440"/>
    <w:rsid w:val="008E725F"/>
    <w:rsid w:val="00901303"/>
    <w:rsid w:val="00AB2149"/>
    <w:rsid w:val="00AD30C0"/>
    <w:rsid w:val="00B31F47"/>
    <w:rsid w:val="00BA06EB"/>
    <w:rsid w:val="00BE58EC"/>
    <w:rsid w:val="00C051EF"/>
    <w:rsid w:val="00CE0277"/>
    <w:rsid w:val="00CE5C9B"/>
    <w:rsid w:val="00DC6A77"/>
    <w:rsid w:val="00E604CC"/>
    <w:rsid w:val="00EC1683"/>
    <w:rsid w:val="00EE7023"/>
    <w:rsid w:val="00F40340"/>
    <w:rsid w:val="00F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9BE"/>
  <w15:chartTrackingRefBased/>
  <w15:docId w15:val="{9E941426-DAD8-47A1-8E43-782B17B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A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1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67A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A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A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A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A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sul.edu.br/p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49</cp:revision>
  <dcterms:created xsi:type="dcterms:W3CDTF">2019-12-11T16:03:00Z</dcterms:created>
  <dcterms:modified xsi:type="dcterms:W3CDTF">2019-12-16T14:37:00Z</dcterms:modified>
</cp:coreProperties>
</file>