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9"/>
        <w:gridCol w:w="4301"/>
        <w:tblGridChange w:id="0">
          <w:tblGrid>
            <w:gridCol w:w="4419"/>
            <w:gridCol w:w="430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ind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DISCIPLINA: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Libras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Vigência: </w:t>
            </w:r>
            <w:r w:rsidDel="00000000" w:rsidR="00000000" w:rsidRPr="00000000">
              <w:rPr>
                <w:rtl w:val="0"/>
              </w:rPr>
              <w:t xml:space="preserve">a partir de 2023/2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Período letivo:</w:t>
            </w:r>
            <w:r w:rsidDel="00000000" w:rsidR="00000000" w:rsidRPr="00000000">
              <w:rPr>
                <w:rtl w:val="0"/>
              </w:rPr>
              <w:t xml:space="preserve"> eletiva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Carga horária total: </w:t>
            </w:r>
            <w:r w:rsidDel="00000000" w:rsidR="00000000" w:rsidRPr="00000000">
              <w:rPr>
                <w:rtl w:val="0"/>
              </w:rPr>
              <w:t xml:space="preserve">30h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Código: </w:t>
            </w:r>
            <w:r w:rsidDel="00000000" w:rsidR="00000000" w:rsidRPr="00000000">
              <w:rPr>
                <w:rtl w:val="0"/>
              </w:rPr>
              <w:t xml:space="preserve">[ver sistema acadêmico]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Extensão: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Pesquisa: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Prática: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EaD: </w:t>
            </w:r>
            <w:r w:rsidDel="00000000" w:rsidR="00000000" w:rsidRPr="00000000">
              <w:rPr>
                <w:rtl w:val="0"/>
              </w:rPr>
              <w:t xml:space="preserve">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  <w:t xml:space="preserve">Reflexões acerca da inclusão e da cultura surda nos diferentes espaços da sociedade. Conhecimento das principais legislações internacionais e nacionais relacionadas a inclusão das pessoas com deficiência e acessibilidade. Diferentes marcas culturais da cultura surda. Aspectos da língua brasileira de sinais (LIBRAS) e sua importância. Apresentação da datilogia. Parâmetros da LIBRAS. Noções básicas de vocabulário em LIBRAS.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UNIDADE I – Inclusão e cultura surda </w:t>
      </w:r>
    </w:p>
    <w:p w:rsidR="00000000" w:rsidDel="00000000" w:rsidP="00000000" w:rsidRDefault="00000000" w:rsidRPr="00000000" w14:paraId="000000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 História das pessoas com deficiência no contexto brasileiro</w:t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 Inclusão das pessoas com deficiência </w:t>
      </w:r>
    </w:p>
    <w:p w:rsidR="00000000" w:rsidDel="00000000" w:rsidP="00000000" w:rsidRDefault="00000000" w:rsidRPr="00000000" w14:paraId="0000001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1.2.1 Acessibilidade </w:t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1.2.2 Terminologia</w:t>
      </w:r>
    </w:p>
    <w:p w:rsidR="00000000" w:rsidDel="00000000" w:rsidP="00000000" w:rsidRDefault="00000000" w:rsidRPr="00000000" w14:paraId="000000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1.2.2 Legislações internacionais e brasileiras relacionadas a inclusão das pessoas com deficiência </w:t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 História dos surdos no Brasil </w:t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1.3 Comunidade, identidade e cultura surda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rPr/>
      </w:pPr>
      <w:r w:rsidDel="00000000" w:rsidR="00000000" w:rsidRPr="00000000">
        <w:rPr>
          <w:color w:val="000000"/>
          <w:rtl w:val="0"/>
        </w:rPr>
        <w:t xml:space="preserve">UNIDADE II – Introdução a Língua Brasileira de Sinais (LIBRAS)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  <w:t xml:space="preserve">2.1 A origem da LIBRAS no Brasil 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  <w:t xml:space="preserve">2.2 Parâmetros da LIBRAS</w:t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  <w:t xml:space="preserve">2.2.1 Configuração das mãos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  <w:t xml:space="preserve">2.2.2 Ponto de articulação</w:t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  <w:t xml:space="preserve">2.2.3 Movimento 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  <w:t xml:space="preserve">2.2.4 Direção/Orientação</w:t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  <w:t xml:space="preserve">2.2.5 Expressão facial e corporal 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  <w:t xml:space="preserve">2.3 Alfabeto manual e numérico </w:t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UNIDADE III- Noções Básicas de LIBRAS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3.1 Saudações cotidianas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3.2 Cores, formas e tamanhos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3.3 Meios de transporte e meios de comunicação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3.4 Profissões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3.5 Dias e semanas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3.6 Verbos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3.7 Advérbios de local e tempo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3.8 Pronomes e adjetivos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3.9 Tecnologia assistiva de comunicação e informação na educação de surdos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3.10 Sinais relacionados ao mundo do trabalho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GESSER, Audrei</w:t>
      </w:r>
      <w:r w:rsidDel="00000000" w:rsidR="00000000" w:rsidRPr="00000000">
        <w:rPr>
          <w:b w:val="1"/>
          <w:color w:val="000000"/>
          <w:rtl w:val="0"/>
        </w:rPr>
        <w:t xml:space="preserve">. Libras?: que língua é essa?</w:t>
      </w:r>
      <w:r w:rsidDel="00000000" w:rsidR="00000000" w:rsidRPr="00000000">
        <w:rPr>
          <w:color w:val="000000"/>
          <w:rtl w:val="0"/>
        </w:rPr>
        <w:t xml:space="preserve">: crenças e preconceitos em torno da língua de sinais e da realidade surda. São Paulo: Parábola, 2009.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JANUZZI, Gilberta Martino. </w:t>
      </w:r>
      <w:r w:rsidDel="00000000" w:rsidR="00000000" w:rsidRPr="00000000">
        <w:rPr>
          <w:b w:val="1"/>
          <w:color w:val="000000"/>
          <w:rtl w:val="0"/>
        </w:rPr>
        <w:t xml:space="preserve">A educação do deficiente no Brasil</w:t>
      </w:r>
      <w:r w:rsidDel="00000000" w:rsidR="00000000" w:rsidRPr="00000000">
        <w:rPr>
          <w:color w:val="000000"/>
          <w:rtl w:val="0"/>
        </w:rPr>
        <w:t xml:space="preserve">: dos primórdios ao início do século XXI. Campinas:  Autores Associados, 2004.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QUADROS, Ronice Müller de; KARNOPP, Lodenir Becker. </w:t>
      </w:r>
      <w:r w:rsidDel="00000000" w:rsidR="00000000" w:rsidRPr="00000000">
        <w:rPr>
          <w:b w:val="1"/>
          <w:color w:val="000000"/>
          <w:rtl w:val="0"/>
        </w:rPr>
        <w:t xml:space="preserve">Língua de sinais brasileira</w:t>
      </w:r>
      <w:r w:rsidDel="00000000" w:rsidR="00000000" w:rsidRPr="00000000">
        <w:rPr>
          <w:color w:val="000000"/>
          <w:rtl w:val="0"/>
        </w:rPr>
        <w:t xml:space="preserve">: estudos lingüísticos. Porto Alegre: Artmed, 2009.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LOPES, Maura Corcini. </w:t>
      </w:r>
      <w:r w:rsidDel="00000000" w:rsidR="00000000" w:rsidRPr="00000000">
        <w:rPr>
          <w:b w:val="1"/>
          <w:color w:val="000000"/>
          <w:rtl w:val="0"/>
        </w:rPr>
        <w:t xml:space="preserve">Surdez &amp; educação</w:t>
      </w:r>
      <w:r w:rsidDel="00000000" w:rsidR="00000000" w:rsidRPr="00000000">
        <w:rPr>
          <w:color w:val="000000"/>
          <w:rtl w:val="0"/>
        </w:rPr>
        <w:t xml:space="preserve">. Belo Horizonte: Autêntica, 2007.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LOPES, Maura Corcini. LOPES, Eli Henn Fabris. </w:t>
      </w:r>
      <w:r w:rsidDel="00000000" w:rsidR="00000000" w:rsidRPr="00000000">
        <w:rPr>
          <w:b w:val="1"/>
          <w:color w:val="000000"/>
          <w:rtl w:val="0"/>
        </w:rPr>
        <w:t xml:space="preserve">Inclusão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&amp; educação. </w:t>
      </w:r>
      <w:r w:rsidDel="00000000" w:rsidR="00000000" w:rsidRPr="00000000">
        <w:rPr>
          <w:color w:val="000000"/>
          <w:rtl w:val="0"/>
        </w:rPr>
        <w:t xml:space="preserve">Belo Horizonte: Autêntica, 2013.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SKLIAR, Carlos (Org.). </w:t>
      </w:r>
      <w:r w:rsidDel="00000000" w:rsidR="00000000" w:rsidRPr="00000000">
        <w:rPr>
          <w:b w:val="1"/>
          <w:color w:val="000000"/>
          <w:rtl w:val="0"/>
        </w:rPr>
        <w:t xml:space="preserve">A surdez</w:t>
      </w:r>
      <w:r w:rsidDel="00000000" w:rsidR="00000000" w:rsidRPr="00000000">
        <w:rPr>
          <w:color w:val="000000"/>
          <w:rtl w:val="0"/>
        </w:rPr>
        <w:t xml:space="preserve">: um olhar sobre as diferenças. 3. ed. Porto Alegre: Mediação, 2005.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BRASIL, 2002, Lei nº 10.436, de 24 de abril de 2002. </w:t>
      </w:r>
      <w:r w:rsidDel="00000000" w:rsidR="00000000" w:rsidRPr="00000000">
        <w:rPr>
          <w:b w:val="1"/>
          <w:color w:val="000000"/>
          <w:rtl w:val="0"/>
        </w:rPr>
        <w:t xml:space="preserve">Dispõe sobre a Língua Brasileira de Sinais – Libras e dá outras providências. </w:t>
      </w:r>
      <w:r w:rsidDel="00000000" w:rsidR="00000000" w:rsidRPr="00000000">
        <w:rPr>
          <w:color w:val="000000"/>
          <w:rtl w:val="0"/>
        </w:rPr>
        <w:t xml:space="preserve">Diário Oficial da União. Disponível em: &lt;http://www.planalto.gov.br/cCivil_03/LEIS/2002 /L10436.htm&gt;.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BRASIL, 2015, Lei n. 13.146, de . </w:t>
      </w:r>
      <w:r w:rsidDel="00000000" w:rsidR="00000000" w:rsidRPr="00000000">
        <w:rPr>
          <w:b w:val="1"/>
          <w:color w:val="000000"/>
          <w:rtl w:val="0"/>
        </w:rPr>
        <w:t xml:space="preserve">Lei Brasileira de Inclusão da Pessoa com Deficiência.</w:t>
      </w:r>
      <w:r w:rsidDel="00000000" w:rsidR="00000000" w:rsidRPr="00000000">
        <w:rPr>
          <w:color w:val="000000"/>
          <w:rtl w:val="0"/>
        </w:rPr>
        <w:t xml:space="preserve"> Disponível em: http://www.planalto.gov.br/ccivil_03/_Ato2015- 2018/2015/Lei/L13146.htm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ind w:left="0" w:hanging="2"/>
      <w:jc w:val="center"/>
      <w:rPr/>
    </w:pPr>
    <w:r w:rsidDel="00000000" w:rsidR="00000000" w:rsidRPr="00000000">
      <w:rPr/>
      <w:drawing>
        <wp:inline distB="0" distT="0" distL="114300" distR="114300">
          <wp:extent cx="423545" cy="461010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44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45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46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ulo1Nivel1Conteudo" w:customStyle="1">
    <w:name w:val="Título 1;Nivel 1 Conteudo"/>
    <w:basedOn w:val="Normal"/>
    <w:next w:val="Normal"/>
    <w:pPr>
      <w:keepNext w:val="1"/>
      <w:ind w:left="1560" w:hanging="426"/>
    </w:pPr>
    <w:rPr>
      <w:bCs w:val="1"/>
      <w:kern w:val="32"/>
      <w:szCs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rpodetextoChar" w:customStyle="1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TtuloNivel0Contedo" w:customStyle="1">
    <w:name w:val="Título;Nivel 0 Conteúdo"/>
    <w:basedOn w:val="Normal"/>
    <w:next w:val="Normal"/>
    <w:pPr>
      <w:spacing w:after="60" w:before="240"/>
    </w:pPr>
    <w:rPr>
      <w:bCs w:val="1"/>
      <w:kern w:val="28"/>
      <w:szCs w:val="32"/>
    </w:rPr>
  </w:style>
  <w:style w:type="character" w:styleId="TtuloCharNivel0ContedoChar" w:customStyle="1">
    <w:name w:val="Título Char;Nivel 0 Conteúdo Char"/>
    <w:rPr>
      <w:rFonts w:ascii="Arial" w:cs="Times New Roman" w:eastAsia="Times New Roman" w:hAnsi="Arial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styleId="Ttulo1CharNivel1ConteudoChar" w:customStyle="1">
    <w:name w:val="Título 1 Char;Nivel 1 Conteudo Char"/>
    <w:rPr>
      <w:rFonts w:ascii="Arial" w:cs="Times New Roman" w:eastAsia="Times New Roman" w:hAnsi="Arial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styleId="Nivel2Contedo" w:customStyle="1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corrido" w:customStyle="1">
    <w:name w:val="Texto corrido"/>
    <w:basedOn w:val="Normal"/>
    <w:pPr>
      <w:spacing w:after="160" w:line="360" w:lineRule="auto"/>
      <w:ind w:firstLine="708"/>
    </w:pPr>
    <w:rPr>
      <w:rFonts w:eastAsia="Calibri"/>
      <w:color w:val="171717"/>
      <w:lang w:eastAsia="en-US"/>
    </w:rPr>
  </w:style>
  <w:style w:type="character" w:styleId="TextocorridoChar" w:customStyle="1">
    <w:name w:val="Texto corrido Char"/>
    <w:rPr>
      <w:rFonts w:ascii="Arial" w:cs="Arial" w:eastAsia="Calibri" w:hAnsi="Arial"/>
      <w:color w:val="171717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Ttulo2Char" w:customStyle="1">
    <w:name w:val="Título 2 Char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padroverde1" w:customStyle="1">
    <w:name w:val="Tabela padrão verde1"/>
    <w:basedOn w:val="Tabelanormal"/>
    <w:next w:val="TabeladeGrade5Escur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 w:eastAsia="Calibri"/>
      <w:position w:val="-1"/>
      <w:szCs w:val="22"/>
      <w:lang w:eastAsia="en-US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</w:style>
  <w:style w:type="paragraph" w:styleId="Textotabela" w:customStyle="1">
    <w:name w:val="Texto tabela"/>
    <w:basedOn w:val="Textocorrido"/>
    <w:pPr>
      <w:spacing w:after="120" w:before="120" w:line="240" w:lineRule="auto"/>
      <w:ind w:firstLine="0"/>
      <w:jc w:val="left"/>
    </w:pPr>
    <w:rPr>
      <w:rFonts w:eastAsia="Arial"/>
      <w:sz w:val="20"/>
      <w:lang w:eastAsia="pt-BR"/>
    </w:rPr>
  </w:style>
  <w:style w:type="character" w:styleId="TextotabelaChar" w:customStyle="1">
    <w:name w:val="Texto tabela Char"/>
    <w:rPr>
      <w:rFonts w:ascii="Arial" w:cs="Arial" w:eastAsia="Arial" w:hAnsi="Arial"/>
      <w:color w:val="171717"/>
      <w:w w:val="100"/>
      <w:position w:val="-1"/>
      <w:szCs w:val="24"/>
      <w:effect w:val="none"/>
      <w:vertAlign w:val="baseline"/>
      <w:cs w:val="0"/>
      <w:em w:val="none"/>
    </w:rPr>
  </w:style>
  <w:style w:type="table" w:styleId="TabeladeGrade5Escura">
    <w:name w:val="Grid Table 5 Dark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</w:style>
  <w:style w:type="table" w:styleId="TabeladeGrade5Escura-nfase6">
    <w:name w:val="Grid Table 5 Dark Accent 6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w+DDQ+MGW6x50jJr9uynLoHk6A==">CgMxLjAyCGguZ2pkZ3hzOAByITFqb18zWWNWTEEzRk9TNjFCdEJ1dC15cDJORGw0bXlEOQ==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2022-08-31T00:00:00Z</dcterms:created>
  <dc:creator>DIREN</dc:creator>
</cp:coreProperties>
</file>