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pPr>
      <w:bookmarkStart w:colFirst="0" w:colLast="0" w:name="_heading=h.gjdgxs" w:id="0"/>
      <w:bookmarkEnd w:id="0"/>
      <w:r w:rsidDel="00000000" w:rsidR="00000000" w:rsidRPr="00000000">
        <w:rPr>
          <w:rtl w:val="0"/>
        </w:rPr>
      </w:r>
    </w:p>
    <w:tbl>
      <w:tblPr>
        <w:tblStyle w:val="Table1"/>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9"/>
        <w:gridCol w:w="4301"/>
        <w:tblGridChange w:id="0">
          <w:tblGrid>
            <w:gridCol w:w="4419"/>
            <w:gridCol w:w="430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DISCIPLINA:</w:t>
            </w:r>
            <w:r w:rsidDel="00000000" w:rsidR="00000000" w:rsidRPr="00000000">
              <w:rPr>
                <w:color w:val="ff0000"/>
                <w:rtl w:val="0"/>
              </w:rPr>
              <w:t xml:space="preserve"> </w:t>
            </w:r>
            <w:r w:rsidDel="00000000" w:rsidR="00000000" w:rsidRPr="00000000">
              <w:rPr>
                <w:rtl w:val="0"/>
              </w:rPr>
              <w:t xml:space="preserve">Tópicos Avançados em Sistemas de Banco de Dados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Vigência: </w:t>
            </w:r>
            <w:r w:rsidDel="00000000" w:rsidR="00000000" w:rsidRPr="00000000">
              <w:rPr>
                <w:color w:val="000000"/>
                <w:rtl w:val="0"/>
              </w:rPr>
              <w:t xml:space="preserve">a partir de </w:t>
            </w:r>
            <w:r w:rsidDel="00000000" w:rsidR="00000000" w:rsidRPr="00000000">
              <w:rPr>
                <w:rtl w:val="0"/>
              </w:rPr>
              <w:t xml:space="preserve">2023/2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Período letivo:</w:t>
            </w:r>
            <w:r w:rsidDel="00000000" w:rsidR="00000000" w:rsidRPr="00000000">
              <w:rPr>
                <w:color w:val="000000"/>
                <w:rtl w:val="0"/>
              </w:rPr>
              <w:t xml:space="preserve"> </w:t>
            </w:r>
            <w:r w:rsidDel="00000000" w:rsidR="00000000" w:rsidRPr="00000000">
              <w:rPr>
                <w:rtl w:val="0"/>
              </w:rPr>
              <w:t xml:space="preserve">3º semestre</w:t>
            </w:r>
            <w:r w:rsidDel="00000000" w:rsidR="00000000" w:rsidRPr="00000000">
              <w:rPr>
                <w:b w:val="1"/>
                <w:color w:val="00000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Carga horária total: </w:t>
            </w:r>
            <w:r w:rsidDel="00000000" w:rsidR="00000000" w:rsidRPr="00000000">
              <w:rPr>
                <w:rtl w:val="0"/>
              </w:rPr>
              <w:t xml:space="preserve">60</w:t>
            </w:r>
            <w:r w:rsidDel="00000000" w:rsidR="00000000" w:rsidRPr="00000000">
              <w:rPr>
                <w:color w:val="000000"/>
                <w:rtl w:val="0"/>
              </w:rPr>
              <w:t xml:space="preserve"> 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Código: </w:t>
            </w:r>
            <w:r w:rsidDel="00000000" w:rsidR="00000000" w:rsidRPr="00000000">
              <w:rPr>
                <w:rtl w:val="0"/>
              </w:rPr>
              <w:t xml:space="preserve">SUP.2655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ind w:firstLine="0"/>
              <w:rPr>
                <w:b w:val="1"/>
              </w:rPr>
            </w:pPr>
            <w:r w:rsidDel="00000000" w:rsidR="00000000" w:rsidRPr="00000000">
              <w:rPr>
                <w:b w:val="1"/>
                <w:rtl w:val="0"/>
              </w:rPr>
              <w:t xml:space="preserve">CH Extensão: </w:t>
            </w:r>
            <w:r w:rsidDel="00000000" w:rsidR="00000000" w:rsidRPr="00000000">
              <w:rPr>
                <w:rtl w:val="0"/>
              </w:rPr>
              <w:t xml:space="preserve">0 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ind w:firstLine="0"/>
              <w:rPr>
                <w:b w:val="1"/>
              </w:rPr>
            </w:pPr>
            <w:r w:rsidDel="00000000" w:rsidR="00000000" w:rsidRPr="00000000">
              <w:rPr>
                <w:b w:val="1"/>
                <w:rtl w:val="0"/>
              </w:rPr>
              <w:t xml:space="preserve">CH Pesquisa: </w:t>
            </w:r>
            <w:r w:rsidDel="00000000" w:rsidR="00000000" w:rsidRPr="00000000">
              <w:rPr>
                <w:rtl w:val="0"/>
              </w:rPr>
              <w:t xml:space="preserve">0 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ind w:firstLine="0"/>
              <w:rPr>
                <w:b w:val="1"/>
              </w:rPr>
            </w:pPr>
            <w:r w:rsidDel="00000000" w:rsidR="00000000" w:rsidRPr="00000000">
              <w:rPr>
                <w:b w:val="1"/>
                <w:rtl w:val="0"/>
              </w:rPr>
              <w:t xml:space="preserve">CH Prática: </w:t>
            </w:r>
            <w:r w:rsidDel="00000000" w:rsidR="00000000" w:rsidRPr="00000000">
              <w:rPr>
                <w:rtl w:val="0"/>
              </w:rPr>
              <w:t xml:space="preserve">0 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ind w:firstLine="0"/>
              <w:rPr>
                <w:b w:val="1"/>
              </w:rPr>
            </w:pPr>
            <w:r w:rsidDel="00000000" w:rsidR="00000000" w:rsidRPr="00000000">
              <w:rPr>
                <w:b w:val="1"/>
                <w:rtl w:val="0"/>
              </w:rPr>
              <w:t xml:space="preserve">% EaD: </w:t>
            </w:r>
            <w:r w:rsidDel="00000000" w:rsidR="00000000" w:rsidRPr="00000000">
              <w:rPr>
                <w:rtl w:val="0"/>
              </w:rPr>
              <w:t xml:space="preserve">50,00 %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b w:val="1"/>
                <w:color w:val="000000"/>
                <w:rtl w:val="0"/>
              </w:rPr>
              <w:t xml:space="preserve">Ementa: </w:t>
            </w:r>
            <w:r w:rsidDel="00000000" w:rsidR="00000000" w:rsidRPr="00000000">
              <w:rPr>
                <w:rtl w:val="0"/>
              </w:rPr>
              <w:t xml:space="preserve">Compreensão das diferentes formas de realizar consultas em múltiplas tabelas. Estudo de programação em sistemas de banco de dados. Estudo das diferentes abordagens de sistemas de banco de dados não relacionais.</w:t>
            </w: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before="240" w:line="240" w:lineRule="auto"/>
        <w:ind w:left="0" w:hanging="2"/>
        <w:rPr>
          <w:color w:val="000000"/>
        </w:rPr>
      </w:pPr>
      <w:r w:rsidDel="00000000" w:rsidR="00000000" w:rsidRPr="00000000">
        <w:rPr>
          <w:b w:val="1"/>
          <w:color w:val="000000"/>
          <w:rtl w:val="0"/>
        </w:rPr>
        <w:t xml:space="preserve">Conteúdos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240" w:line="240" w:lineRule="auto"/>
        <w:ind w:left="0" w:hanging="2"/>
        <w:rPr>
          <w:color w:val="000000"/>
        </w:rPr>
      </w:pPr>
      <w:r w:rsidDel="00000000" w:rsidR="00000000" w:rsidRPr="00000000">
        <w:rPr>
          <w:color w:val="000000"/>
          <w:rtl w:val="0"/>
        </w:rPr>
        <w:t xml:space="preserve">UNIDADE I – </w:t>
      </w:r>
      <w:r w:rsidDel="00000000" w:rsidR="00000000" w:rsidRPr="00000000">
        <w:rPr>
          <w:rtl w:val="0"/>
        </w:rPr>
        <w:t xml:space="preserve">Consultas envolvendo múltiplas entidades</w:t>
      </w:r>
      <w:r w:rsidDel="00000000" w:rsidR="00000000" w:rsidRPr="00000000">
        <w:rPr>
          <w:rtl w:val="0"/>
        </w:rPr>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1.1 </w:t>
      </w:r>
      <w:r w:rsidDel="00000000" w:rsidR="00000000" w:rsidRPr="00000000">
        <w:rPr>
          <w:rtl w:val="0"/>
        </w:rPr>
        <w:t xml:space="preserve">Join</w:t>
      </w:r>
      <w:r w:rsidDel="00000000" w:rsidR="00000000" w:rsidRPr="00000000">
        <w:rPr>
          <w:rtl w:val="0"/>
        </w:rPr>
      </w:r>
    </w:p>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1.2 </w:t>
      </w:r>
      <w:r w:rsidDel="00000000" w:rsidR="00000000" w:rsidRPr="00000000">
        <w:rPr>
          <w:rtl w:val="0"/>
        </w:rPr>
        <w:t xml:space="preserve">Subconsultas</w:t>
      </w:r>
      <w:r w:rsidDel="00000000" w:rsidR="00000000" w:rsidRPr="00000000">
        <w:rPr>
          <w:rtl w:val="0"/>
        </w:rPr>
      </w:r>
    </w:p>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spacing w:line="240" w:lineRule="auto"/>
        <w:ind w:left="0" w:hanging="2"/>
        <w:rPr/>
      </w:pPr>
      <w:r w:rsidDel="00000000" w:rsidR="00000000" w:rsidRPr="00000000">
        <w:rPr>
          <w:color w:val="000000"/>
          <w:rtl w:val="0"/>
        </w:rPr>
        <w:t xml:space="preserve">1.3 </w:t>
      </w:r>
      <w:r w:rsidDel="00000000" w:rsidR="00000000" w:rsidRPr="00000000">
        <w:rPr>
          <w:rtl w:val="0"/>
        </w:rPr>
        <w:t xml:space="preserve">Visões</w:t>
      </w:r>
    </w:p>
    <w:p w:rsidR="00000000" w:rsidDel="00000000" w:rsidP="00000000" w:rsidRDefault="00000000" w:rsidRPr="00000000" w14:paraId="00000013">
      <w:pPr>
        <w:keepNext w:val="1"/>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1.4 Funções de Janela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240" w:line="240" w:lineRule="auto"/>
        <w:ind w:left="0" w:hanging="2"/>
        <w:rPr>
          <w:color w:val="000000"/>
        </w:rPr>
      </w:pPr>
      <w:r w:rsidDel="00000000" w:rsidR="00000000" w:rsidRPr="00000000">
        <w:rPr>
          <w:color w:val="000000"/>
          <w:rtl w:val="0"/>
        </w:rPr>
        <w:t xml:space="preserve">UNIDADE II – </w:t>
      </w:r>
      <w:r w:rsidDel="00000000" w:rsidR="00000000" w:rsidRPr="00000000">
        <w:rPr>
          <w:rtl w:val="0"/>
        </w:rPr>
        <w:t xml:space="preserve">Programação em sistemas de banco de dados</w:t>
      </w:r>
      <w:r w:rsidDel="00000000" w:rsidR="00000000" w:rsidRPr="00000000">
        <w:rPr>
          <w:rtl w:val="0"/>
        </w:rPr>
      </w:r>
    </w:p>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2.1 </w:t>
      </w:r>
      <w:r w:rsidDel="00000000" w:rsidR="00000000" w:rsidRPr="00000000">
        <w:rPr>
          <w:rtl w:val="0"/>
        </w:rPr>
        <w:t xml:space="preserve">Rotinas armazenadas</w:t>
      </w:r>
      <w:r w:rsidDel="00000000" w:rsidR="00000000" w:rsidRPr="00000000">
        <w:rPr>
          <w:rtl w:val="0"/>
        </w:rPr>
      </w:r>
    </w:p>
    <w:p w:rsidR="00000000" w:rsidDel="00000000" w:rsidP="00000000" w:rsidRDefault="00000000" w:rsidRPr="00000000" w14:paraId="00000016">
      <w:pPr>
        <w:keepNext w:val="1"/>
        <w:ind w:left="0" w:hanging="2"/>
        <w:rPr/>
      </w:pPr>
      <w:r w:rsidDel="00000000" w:rsidR="00000000" w:rsidRPr="00000000">
        <w:rPr>
          <w:rtl w:val="0"/>
        </w:rPr>
        <w:t xml:space="preserve">2.2 Gatilhos</w:t>
      </w:r>
    </w:p>
    <w:p w:rsidR="00000000" w:rsidDel="00000000" w:rsidP="00000000" w:rsidRDefault="00000000" w:rsidRPr="00000000" w14:paraId="00000017">
      <w:pPr>
        <w:keepNext w:val="1"/>
        <w:ind w:left="0" w:hanging="2"/>
        <w:rPr/>
      </w:pPr>
      <w:r w:rsidDel="00000000" w:rsidR="00000000" w:rsidRPr="00000000">
        <w:rPr>
          <w:rtl w:val="0"/>
        </w:rPr>
      </w:r>
    </w:p>
    <w:p w:rsidR="00000000" w:rsidDel="00000000" w:rsidP="00000000" w:rsidRDefault="00000000" w:rsidRPr="00000000" w14:paraId="00000018">
      <w:pPr>
        <w:spacing w:after="60" w:before="240" w:lineRule="auto"/>
        <w:ind w:left="0" w:hanging="2"/>
        <w:rPr/>
      </w:pPr>
      <w:r w:rsidDel="00000000" w:rsidR="00000000" w:rsidRPr="00000000">
        <w:rPr>
          <w:rtl w:val="0"/>
        </w:rPr>
        <w:t xml:space="preserve">UNIDADE III – NoSQL</w:t>
      </w:r>
    </w:p>
    <w:p w:rsidR="00000000" w:rsidDel="00000000" w:rsidP="00000000" w:rsidRDefault="00000000" w:rsidRPr="00000000" w14:paraId="00000019">
      <w:pPr>
        <w:keepNext w:val="1"/>
        <w:ind w:left="0" w:hanging="2"/>
        <w:rPr/>
      </w:pPr>
      <w:r w:rsidDel="00000000" w:rsidR="00000000" w:rsidRPr="00000000">
        <w:rPr>
          <w:rtl w:val="0"/>
        </w:rPr>
        <w:t xml:space="preserve">3.1 Orientado a Chave-valor</w:t>
      </w:r>
    </w:p>
    <w:p w:rsidR="00000000" w:rsidDel="00000000" w:rsidP="00000000" w:rsidRDefault="00000000" w:rsidRPr="00000000" w14:paraId="0000001A">
      <w:pPr>
        <w:keepNext w:val="1"/>
        <w:ind w:left="0" w:hanging="2"/>
        <w:rPr/>
      </w:pPr>
      <w:r w:rsidDel="00000000" w:rsidR="00000000" w:rsidRPr="00000000">
        <w:rPr>
          <w:rtl w:val="0"/>
        </w:rPr>
        <w:t xml:space="preserve">2.2 Orientado a Colunas</w:t>
      </w:r>
    </w:p>
    <w:p w:rsidR="00000000" w:rsidDel="00000000" w:rsidP="00000000" w:rsidRDefault="00000000" w:rsidRPr="00000000" w14:paraId="0000001B">
      <w:pPr>
        <w:keepNext w:val="1"/>
        <w:ind w:left="0" w:hanging="2"/>
        <w:rPr/>
      </w:pPr>
      <w:r w:rsidDel="00000000" w:rsidR="00000000" w:rsidRPr="00000000">
        <w:rPr>
          <w:rtl w:val="0"/>
        </w:rPr>
        <w:t xml:space="preserve">3.3 Orientado a Documentos</w:t>
      </w:r>
    </w:p>
    <w:p w:rsidR="00000000" w:rsidDel="00000000" w:rsidP="00000000" w:rsidRDefault="00000000" w:rsidRPr="00000000" w14:paraId="0000001C">
      <w:pPr>
        <w:keepNext w:val="1"/>
        <w:ind w:left="0" w:hanging="2"/>
        <w:rPr/>
      </w:pPr>
      <w:r w:rsidDel="00000000" w:rsidR="00000000" w:rsidRPr="00000000">
        <w:rPr>
          <w:rtl w:val="0"/>
        </w:rPr>
        <w:t xml:space="preserve">3.4 Orientado a Grafos</w:t>
      </w:r>
    </w:p>
    <w:p w:rsidR="00000000" w:rsidDel="00000000" w:rsidP="00000000" w:rsidRDefault="00000000" w:rsidRPr="00000000" w14:paraId="0000001D">
      <w:pPr>
        <w:keepNext w:val="1"/>
        <w:ind w:left="0" w:hanging="2"/>
        <w:rPr/>
      </w:pPr>
      <w:r w:rsidDel="00000000" w:rsidR="00000000" w:rsidRPr="00000000">
        <w:rPr>
          <w:rtl w:val="0"/>
        </w:rPr>
      </w:r>
    </w:p>
    <w:p w:rsidR="00000000" w:rsidDel="00000000" w:rsidP="00000000" w:rsidRDefault="00000000" w:rsidRPr="00000000" w14:paraId="0000001E">
      <w:pPr>
        <w:keepNext w:val="1"/>
        <w:ind w:left="0" w:hanging="2"/>
        <w:rPr/>
      </w:pPr>
      <w:r w:rsidDel="00000000" w:rsidR="00000000" w:rsidRPr="00000000">
        <w:rPr>
          <w:rtl w:val="0"/>
        </w:rPr>
        <w:t xml:space="preserve">UNIDADE III - Engenharia de Dados</w:t>
      </w:r>
    </w:p>
    <w:p w:rsidR="00000000" w:rsidDel="00000000" w:rsidP="00000000" w:rsidRDefault="00000000" w:rsidRPr="00000000" w14:paraId="0000001F">
      <w:pPr>
        <w:keepNext w:val="1"/>
        <w:ind w:hanging="2"/>
        <w:rPr/>
      </w:pPr>
      <w:r w:rsidDel="00000000" w:rsidR="00000000" w:rsidRPr="00000000">
        <w:rPr>
          <w:rtl w:val="0"/>
        </w:rPr>
        <w:t xml:space="preserve">4.1 Geração</w:t>
      </w:r>
    </w:p>
    <w:p w:rsidR="00000000" w:rsidDel="00000000" w:rsidP="00000000" w:rsidRDefault="00000000" w:rsidRPr="00000000" w14:paraId="00000020">
      <w:pPr>
        <w:keepNext w:val="1"/>
        <w:ind w:hanging="2"/>
        <w:rPr/>
      </w:pPr>
      <w:r w:rsidDel="00000000" w:rsidR="00000000" w:rsidRPr="00000000">
        <w:rPr>
          <w:rtl w:val="0"/>
        </w:rPr>
        <w:t xml:space="preserve">4.2 Armazenamento</w:t>
      </w:r>
    </w:p>
    <w:p w:rsidR="00000000" w:rsidDel="00000000" w:rsidP="00000000" w:rsidRDefault="00000000" w:rsidRPr="00000000" w14:paraId="00000021">
      <w:pPr>
        <w:keepNext w:val="1"/>
        <w:ind w:hanging="2"/>
        <w:rPr/>
      </w:pPr>
      <w:r w:rsidDel="00000000" w:rsidR="00000000" w:rsidRPr="00000000">
        <w:rPr>
          <w:rtl w:val="0"/>
        </w:rPr>
        <w:t xml:space="preserve">4.3 Ingestão</w:t>
      </w:r>
    </w:p>
    <w:p w:rsidR="00000000" w:rsidDel="00000000" w:rsidP="00000000" w:rsidRDefault="00000000" w:rsidRPr="00000000" w14:paraId="00000022">
      <w:pPr>
        <w:keepNext w:val="1"/>
        <w:ind w:hanging="2"/>
        <w:rPr/>
      </w:pPr>
      <w:r w:rsidDel="00000000" w:rsidR="00000000" w:rsidRPr="00000000">
        <w:rPr>
          <w:rtl w:val="0"/>
        </w:rPr>
        <w:t xml:space="preserve">4.4 Transformação</w:t>
      </w:r>
    </w:p>
    <w:p w:rsidR="00000000" w:rsidDel="00000000" w:rsidP="00000000" w:rsidRDefault="00000000" w:rsidRPr="00000000" w14:paraId="00000023">
      <w:pPr>
        <w:keepNext w:val="1"/>
        <w:ind w:hanging="2"/>
        <w:rPr/>
      </w:pPr>
      <w:r w:rsidDel="00000000" w:rsidR="00000000" w:rsidRPr="00000000">
        <w:rPr>
          <w:rtl w:val="0"/>
        </w:rPr>
        <w:t xml:space="preserve">4.5 Destinação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before="240" w:line="240" w:lineRule="auto"/>
        <w:ind w:left="0" w:hanging="2"/>
        <w:rPr>
          <w:color w:val="000000"/>
        </w:rPr>
      </w:pPr>
      <w:r w:rsidDel="00000000" w:rsidR="00000000" w:rsidRPr="00000000">
        <w:rPr>
          <w:b w:val="1"/>
          <w:color w:val="000000"/>
          <w:rtl w:val="0"/>
        </w:rPr>
        <w:t xml:space="preserve">Bibliografia básica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PANIZ, David. NoSQL: </w:t>
      </w:r>
      <w:r w:rsidDel="00000000" w:rsidR="00000000" w:rsidRPr="00000000">
        <w:rPr>
          <w:b w:val="1"/>
          <w:rtl w:val="0"/>
        </w:rPr>
        <w:t xml:space="preserve">Como armazenar os dados de uma aplicação moderna</w:t>
      </w:r>
      <w:r w:rsidDel="00000000" w:rsidR="00000000" w:rsidRPr="00000000">
        <w:rPr>
          <w:rtl w:val="0"/>
        </w:rPr>
        <w:t xml:space="preserve">. 1ª Edição. São Paulo: Casa do Código, 2016.</w:t>
      </w:r>
    </w:p>
    <w:p w:rsidR="00000000" w:rsidDel="00000000" w:rsidP="00000000" w:rsidRDefault="00000000" w:rsidRPr="00000000" w14:paraId="00000026">
      <w:pPr>
        <w:ind w:hanging="2"/>
        <w:rPr/>
      </w:pPr>
      <w:r w:rsidDel="00000000" w:rsidR="00000000" w:rsidRPr="00000000">
        <w:rPr>
          <w:rtl w:val="0"/>
        </w:rPr>
      </w:r>
    </w:p>
    <w:p w:rsidR="00000000" w:rsidDel="00000000" w:rsidP="00000000" w:rsidRDefault="00000000" w:rsidRPr="00000000" w14:paraId="00000027">
      <w:pPr>
        <w:ind w:hanging="2"/>
        <w:rPr/>
      </w:pPr>
      <w:r w:rsidDel="00000000" w:rsidR="00000000" w:rsidRPr="00000000">
        <w:rPr>
          <w:rtl w:val="0"/>
        </w:rPr>
        <w:t xml:space="preserve">NAVATHE, Shamkant, ELMASRI, Ramez. </w:t>
      </w:r>
      <w:r w:rsidDel="00000000" w:rsidR="00000000" w:rsidRPr="00000000">
        <w:rPr>
          <w:b w:val="1"/>
          <w:rtl w:val="0"/>
        </w:rPr>
        <w:t xml:space="preserve">Sistemas de Banco de Dados</w:t>
      </w:r>
      <w:r w:rsidDel="00000000" w:rsidR="00000000" w:rsidRPr="00000000">
        <w:rPr>
          <w:rtl w:val="0"/>
        </w:rPr>
        <w:t xml:space="preserve">. 7ª Edição. São Paulo:Pearson Prentice Hall, 2019. Disponível em: </w:t>
      </w:r>
      <w:hyperlink r:id="rId7">
        <w:r w:rsidDel="00000000" w:rsidR="00000000" w:rsidRPr="00000000">
          <w:rPr>
            <w:color w:val="1155cc"/>
            <w:u w:val="single"/>
            <w:rtl w:val="0"/>
          </w:rPr>
          <w:t xml:space="preserve">https://plataforma.bvirtual.com.br/Acervo/Publicacao/168492</w:t>
        </w:r>
      </w:hyperlink>
      <w:r w:rsidDel="00000000" w:rsidR="00000000" w:rsidRPr="00000000">
        <w:rPr>
          <w:rtl w:val="0"/>
        </w:rPr>
        <w:t xml:space="preserve">. Acesso em: set 2023.</w:t>
      </w:r>
    </w:p>
    <w:p w:rsidR="00000000" w:rsidDel="00000000" w:rsidP="00000000" w:rsidRDefault="00000000" w:rsidRPr="00000000" w14:paraId="00000028">
      <w:pPr>
        <w:ind w:hanging="2"/>
        <w:rPr/>
      </w:pPr>
      <w:r w:rsidDel="00000000" w:rsidR="00000000" w:rsidRPr="00000000">
        <w:rPr>
          <w:rtl w:val="0"/>
        </w:rPr>
      </w:r>
    </w:p>
    <w:p w:rsidR="00000000" w:rsidDel="00000000" w:rsidP="00000000" w:rsidRDefault="00000000" w:rsidRPr="00000000" w14:paraId="00000029">
      <w:pPr>
        <w:ind w:hanging="2"/>
        <w:rPr/>
      </w:pPr>
      <w:r w:rsidDel="00000000" w:rsidR="00000000" w:rsidRPr="00000000">
        <w:rPr>
          <w:rtl w:val="0"/>
        </w:rPr>
        <w:t xml:space="preserve">REIS, J.; HOUSLEY, M. </w:t>
      </w:r>
      <w:r w:rsidDel="00000000" w:rsidR="00000000" w:rsidRPr="00000000">
        <w:rPr>
          <w:b w:val="1"/>
          <w:rtl w:val="0"/>
        </w:rPr>
        <w:t xml:space="preserve">Fundamentals of Data Engineering</w:t>
      </w:r>
      <w:r w:rsidDel="00000000" w:rsidR="00000000" w:rsidRPr="00000000">
        <w:rPr>
          <w:rtl w:val="0"/>
        </w:rPr>
        <w:t xml:space="preserve">. 1. ed. Sebastopol, EUA: O'Reilly Media, 2022.</w:t>
      </w:r>
    </w:p>
    <w:p w:rsidR="00000000" w:rsidDel="00000000" w:rsidP="00000000" w:rsidRDefault="00000000" w:rsidRPr="00000000" w14:paraId="0000002A">
      <w:pPr>
        <w:ind w:hanging="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before="240" w:line="240" w:lineRule="auto"/>
        <w:ind w:left="0" w:hanging="2"/>
        <w:rPr/>
      </w:pPr>
      <w:r w:rsidDel="00000000" w:rsidR="00000000" w:rsidRPr="00000000">
        <w:rPr>
          <w:b w:val="1"/>
          <w:color w:val="000000"/>
          <w:rtl w:val="0"/>
        </w:rPr>
        <w:t xml:space="preserve">Bibliografia complementar</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ZHAO, A. </w:t>
      </w:r>
      <w:r w:rsidDel="00000000" w:rsidR="00000000" w:rsidRPr="00000000">
        <w:rPr>
          <w:b w:val="1"/>
          <w:rtl w:val="0"/>
        </w:rPr>
        <w:t xml:space="preserve">SQL - Guia Prático: um Guia Para o uso de SQL</w:t>
      </w:r>
      <w:r w:rsidDel="00000000" w:rsidR="00000000" w:rsidRPr="00000000">
        <w:rPr>
          <w:rtl w:val="0"/>
        </w:rPr>
        <w:t xml:space="preserve">. 4. ed. São Paulo: Novatec, 2023.</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HOWS, David, MEMBREY, Peter; PLUGGE, Eelco. </w:t>
      </w:r>
      <w:r w:rsidDel="00000000" w:rsidR="00000000" w:rsidRPr="00000000">
        <w:rPr>
          <w:b w:val="1"/>
          <w:rtl w:val="0"/>
        </w:rPr>
        <w:t xml:space="preserve">Introdução ao Mongodb</w:t>
      </w:r>
      <w:r w:rsidDel="00000000" w:rsidR="00000000" w:rsidRPr="00000000">
        <w:rPr>
          <w:rtl w:val="0"/>
        </w:rPr>
        <w:t xml:space="preserve">. 1ª Edição. Porto Alegre: Novatec, 2015.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PLOETZ, Aaron; MALEPATI, Tejaswi; NEERAJ, Nishant. </w:t>
      </w:r>
      <w:r w:rsidDel="00000000" w:rsidR="00000000" w:rsidRPr="00000000">
        <w:rPr>
          <w:b w:val="1"/>
          <w:rtl w:val="0"/>
        </w:rPr>
        <w:t xml:space="preserve">Mastering Apache Cassandra 3.x</w:t>
      </w:r>
      <w:r w:rsidDel="00000000" w:rsidR="00000000" w:rsidRPr="00000000">
        <w:rPr>
          <w:rtl w:val="0"/>
        </w:rPr>
        <w:t xml:space="preserve">. 3ª Edição. Birmingham, UK: Packt Publishing, 2018.</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PERKINS, Luc; REDMOND, Eric; WILSON, Jim. </w:t>
      </w:r>
      <w:r w:rsidDel="00000000" w:rsidR="00000000" w:rsidRPr="00000000">
        <w:rPr>
          <w:b w:val="1"/>
          <w:rtl w:val="0"/>
        </w:rPr>
        <w:t xml:space="preserve">Seven Databases in Seven Weeks</w:t>
      </w:r>
      <w:r w:rsidDel="00000000" w:rsidR="00000000" w:rsidRPr="00000000">
        <w:rPr>
          <w:rtl w:val="0"/>
        </w:rPr>
        <w:t xml:space="preserve">. 2ª Edição. Sebastopol, EUA: O'Reilly Media, 2018.</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t xml:space="preserve">KUKREJA, M. </w:t>
      </w:r>
      <w:r w:rsidDel="00000000" w:rsidR="00000000" w:rsidRPr="00000000">
        <w:rPr>
          <w:b w:val="1"/>
          <w:rtl w:val="0"/>
        </w:rPr>
        <w:t xml:space="preserve">Data Engineering with Apache Spark, Delta Lake, and Lakehouse</w:t>
      </w:r>
      <w:r w:rsidDel="00000000" w:rsidR="00000000" w:rsidRPr="00000000">
        <w:rPr>
          <w:rtl w:val="0"/>
        </w:rPr>
        <w:t xml:space="preserve">. 1. ed. Birmingham, UK: Packt Publishing, 2021.</w:t>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ind w:left="0" w:hanging="2"/>
      <w:jc w:val="center"/>
      <w:rPr/>
    </w:pPr>
    <w:r w:rsidDel="00000000" w:rsidR="00000000" w:rsidRPr="00000000">
      <w:rPr/>
      <w:drawing>
        <wp:inline distB="0" distT="0" distL="114300" distR="114300">
          <wp:extent cx="423545" cy="46101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3545" cy="46101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jc w:val="center"/>
      <w:rPr>
        <w:sz w:val="6"/>
        <w:szCs w:val="6"/>
      </w:rPr>
    </w:pPr>
    <w:r w:rsidDel="00000000" w:rsidR="00000000" w:rsidRPr="00000000">
      <w:rPr>
        <w:rtl w:val="0"/>
      </w:rPr>
    </w:r>
  </w:p>
  <w:p w:rsidR="00000000" w:rsidDel="00000000" w:rsidP="00000000" w:rsidRDefault="00000000" w:rsidRPr="00000000" w14:paraId="00000037">
    <w:pPr>
      <w:ind w:left="0" w:hanging="2"/>
      <w:jc w:val="center"/>
      <w:rPr>
        <w:sz w:val="20"/>
        <w:szCs w:val="20"/>
      </w:rPr>
    </w:pPr>
    <w:r w:rsidDel="00000000" w:rsidR="00000000" w:rsidRPr="00000000">
      <w:rPr>
        <w:sz w:val="20"/>
        <w:szCs w:val="20"/>
        <w:rtl w:val="0"/>
      </w:rPr>
      <w:t xml:space="preserve">Serviço Público Federal</w:t>
    </w:r>
  </w:p>
  <w:p w:rsidR="00000000" w:rsidDel="00000000" w:rsidP="00000000" w:rsidRDefault="00000000" w:rsidRPr="00000000" w14:paraId="00000038">
    <w:pPr>
      <w:ind w:left="0" w:hanging="2"/>
      <w:jc w:val="center"/>
      <w:rPr>
        <w:sz w:val="20"/>
        <w:szCs w:val="20"/>
      </w:rPr>
    </w:pPr>
    <w:r w:rsidDel="00000000" w:rsidR="00000000" w:rsidRPr="00000000">
      <w:rPr>
        <w:sz w:val="20"/>
        <w:szCs w:val="20"/>
        <w:rtl w:val="0"/>
      </w:rPr>
      <w:t xml:space="preserve">Instituto Federal de Educação, Ciência e Tecnologia Sul-rio-grandense</w:t>
    </w:r>
  </w:p>
  <w:p w:rsidR="00000000" w:rsidDel="00000000" w:rsidP="00000000" w:rsidRDefault="00000000" w:rsidRPr="00000000" w14:paraId="00000039">
    <w:pPr>
      <w:ind w:left="0" w:hanging="2"/>
      <w:jc w:val="center"/>
      <w:rPr>
        <w:sz w:val="20"/>
        <w:szCs w:val="20"/>
      </w:rPr>
    </w:pPr>
    <w:r w:rsidDel="00000000" w:rsidR="00000000" w:rsidRPr="00000000">
      <w:rPr>
        <w:sz w:val="20"/>
        <w:szCs w:val="20"/>
        <w:rtl w:val="0"/>
      </w:rPr>
      <w:t xml:space="preserve">Pró-Reitoria de Ensino</w:t>
    </w:r>
  </w:p>
  <w:p w:rsidR="00000000" w:rsidDel="00000000" w:rsidP="00000000" w:rsidRDefault="00000000" w:rsidRPr="00000000" w14:paraId="0000003A">
    <w:pPr>
      <w:ind w:left="0"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tulo1Nivel1Conteudo" w:customStyle="1">
    <w:name w:val="Título 1;Nivel 1 Conteudo"/>
    <w:basedOn w:val="Normal"/>
    <w:next w:val="Normal"/>
    <w:pPr>
      <w:keepNext w:val="1"/>
      <w:ind w:left="1560" w:hanging="426"/>
    </w:pPr>
    <w:rPr>
      <w:bCs w:val="1"/>
      <w:kern w:val="32"/>
      <w:szCs w:val="3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Corpodetexto">
    <w:name w:val="Body Text"/>
    <w:basedOn w:val="Normal"/>
    <w:rPr>
      <w:rFonts w:ascii="Times New Roman" w:hAnsi="Times New Roman"/>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rpodetextoChar" w:customStyle="1">
    <w:name w:val="Corpo de texto Char"/>
    <w:rPr>
      <w:w w:val="100"/>
      <w:position w:val="-1"/>
      <w:sz w:val="24"/>
      <w:effect w:val="none"/>
      <w:vertAlign w:val="baseline"/>
      <w:cs w:val="0"/>
      <w:em w:val="none"/>
    </w:rPr>
  </w:style>
  <w:style w:type="paragraph" w:styleId="PargrafodaLista">
    <w:name w:val="List Paragraph"/>
    <w:basedOn w:val="Normal"/>
    <w:pPr>
      <w:spacing w:after="200" w:line="276" w:lineRule="auto"/>
      <w:ind w:left="720"/>
      <w:contextualSpacing w:val="1"/>
    </w:pPr>
    <w:rPr>
      <w:rFonts w:ascii="Calibri" w:eastAsia="Calibri" w:hAnsi="Calibri"/>
      <w:sz w:val="22"/>
      <w:szCs w:val="22"/>
      <w:lang w:eastAsia="en-US"/>
    </w:rPr>
  </w:style>
  <w:style w:type="paragraph" w:styleId="TtuloNivel0Contedo" w:customStyle="1">
    <w:name w:val="Título;Nivel 0 Conteúdo"/>
    <w:basedOn w:val="Normal"/>
    <w:next w:val="Normal"/>
    <w:pPr>
      <w:spacing w:after="60" w:before="240"/>
    </w:pPr>
    <w:rPr>
      <w:bCs w:val="1"/>
      <w:kern w:val="28"/>
      <w:szCs w:val="32"/>
    </w:rPr>
  </w:style>
  <w:style w:type="character" w:styleId="TtuloCharNivel0ContedoChar" w:customStyle="1">
    <w:name w:val="Título Char;Nivel 0 Conteúdo Char"/>
    <w:rPr>
      <w:rFonts w:ascii="Arial" w:cs="Times New Roman" w:eastAsia="Times New Roman" w:hAnsi="Arial"/>
      <w:bCs w:val="1"/>
      <w:w w:val="100"/>
      <w:kern w:val="28"/>
      <w:position w:val="-1"/>
      <w:sz w:val="24"/>
      <w:szCs w:val="32"/>
      <w:effect w:val="none"/>
      <w:vertAlign w:val="baseline"/>
      <w:cs w:val="0"/>
      <w:em w:val="none"/>
    </w:rPr>
  </w:style>
  <w:style w:type="character" w:styleId="Ttulo1CharNivel1ConteudoChar" w:customStyle="1">
    <w:name w:val="Título 1 Char;Nivel 1 Conteudo Char"/>
    <w:rPr>
      <w:rFonts w:ascii="Arial" w:cs="Times New Roman" w:eastAsia="Times New Roman" w:hAnsi="Arial"/>
      <w:bCs w:val="1"/>
      <w:w w:val="100"/>
      <w:kern w:val="32"/>
      <w:position w:val="-1"/>
      <w:sz w:val="24"/>
      <w:szCs w:val="32"/>
      <w:effect w:val="none"/>
      <w:vertAlign w:val="baseline"/>
      <w:cs w:val="0"/>
      <w:em w:val="none"/>
    </w:rPr>
  </w:style>
  <w:style w:type="paragraph" w:styleId="Nivel2Contedo" w:customStyle="1">
    <w:name w:val="Nivel 2 Conteúdo"/>
    <w:basedOn w:val="Ttulo1Nivel1Conteudo"/>
    <w:next w:val="Normal"/>
    <w:pPr>
      <w:ind w:left="2127" w:hanging="567"/>
    </w:pPr>
    <w:rPr>
      <w:szCs w:val="24"/>
    </w:rPr>
  </w:style>
  <w:style w:type="paragraph" w:styleId="Textodebalo">
    <w:name w:val="Balloon Text"/>
    <w:basedOn w:val="Normal"/>
    <w:rPr>
      <w:rFonts w:ascii="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taforma.bvirtual.com.br/Acervo/Publicacao/168492"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KL90+tCjbLRlXxxO3O1abnbCA==">CgMxLjAyCGguZ2pkZ3hzOAByITFuMDFEdW1La3lmRURmbUIyWXRJX0F5Y3FQMHpnR0hWaA==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2016-09-23T11:08:00Z</dcterms:created>
  <dc:creator>DIREN</dc:creator>
</cp:coreProperties>
</file>