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57" w:rsidRPr="00426BF1" w:rsidRDefault="00DB6857" w:rsidP="00DB6857">
      <w:pPr>
        <w:rPr>
          <w:rFonts w:cs="Arial"/>
        </w:rPr>
      </w:pPr>
    </w:p>
    <w:p w:rsidR="00DB6857" w:rsidRPr="00426BF1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323"/>
      </w:tblGrid>
      <w:tr w:rsidR="00DB6857" w:rsidRPr="00426BF1" w:rsidTr="00CD29D9">
        <w:trPr>
          <w:trHeight w:val="302"/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6373B3">
            <w:pPr>
              <w:tabs>
                <w:tab w:val="left" w:pos="8872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DISCIPLINA: </w:t>
            </w:r>
            <w:r w:rsidR="00DF1C81" w:rsidRPr="00DF1C81">
              <w:rPr>
                <w:rFonts w:cs="Arial"/>
                <w:szCs w:val="24"/>
              </w:rPr>
              <w:t>Legislação e Impacto Ambiental de Agroquímicos</w:t>
            </w:r>
          </w:p>
        </w:tc>
      </w:tr>
      <w:tr w:rsidR="00DB6857" w:rsidRPr="00426BF1" w:rsidTr="00CD29D9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CD29D9">
            <w:pPr>
              <w:tabs>
                <w:tab w:val="left" w:pos="1508"/>
              </w:tabs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Vigência: </w:t>
            </w:r>
            <w:r w:rsidRPr="00426BF1">
              <w:rPr>
                <w:rFonts w:cs="Arial"/>
                <w:bCs/>
                <w:szCs w:val="24"/>
              </w:rPr>
              <w:t>a partir de 20</w:t>
            </w:r>
            <w:r w:rsidR="00CD29D9">
              <w:rPr>
                <w:rFonts w:cs="Arial"/>
                <w:bCs/>
                <w:szCs w:val="24"/>
              </w:rPr>
              <w:t>23</w:t>
            </w:r>
            <w:r w:rsidR="006E75E9" w:rsidRPr="00426BF1">
              <w:rPr>
                <w:rFonts w:cs="Arial"/>
                <w:bCs/>
                <w:szCs w:val="24"/>
              </w:rPr>
              <w:t>/1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DF1C8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Período Letivo: </w:t>
            </w:r>
            <w:r w:rsidR="00DF1C81">
              <w:rPr>
                <w:rFonts w:cs="Arial"/>
                <w:bCs/>
                <w:szCs w:val="24"/>
              </w:rPr>
              <w:t>ELETIVA</w:t>
            </w:r>
          </w:p>
        </w:tc>
      </w:tr>
      <w:tr w:rsidR="00DB6857" w:rsidRPr="00426BF1" w:rsidTr="00CD29D9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DF1C8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Carga horária Total: </w:t>
            </w:r>
            <w:r w:rsidR="00DF1C81">
              <w:rPr>
                <w:rFonts w:cs="Arial"/>
                <w:bCs/>
                <w:szCs w:val="24"/>
              </w:rPr>
              <w:t>3</w:t>
            </w:r>
            <w:r w:rsidR="00E1192F" w:rsidRPr="00426BF1">
              <w:rPr>
                <w:rFonts w:cs="Arial"/>
                <w:bCs/>
                <w:szCs w:val="24"/>
              </w:rPr>
              <w:t>0</w:t>
            </w:r>
            <w:r w:rsidRPr="00426BF1">
              <w:rPr>
                <w:rFonts w:cs="Arial"/>
                <w:bCs/>
                <w:szCs w:val="24"/>
              </w:rPr>
              <w:t>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5E3AE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>Código:</w:t>
            </w:r>
          </w:p>
        </w:tc>
      </w:tr>
      <w:tr w:rsidR="00CD29D9" w:rsidRPr="00426BF1" w:rsidTr="00CD29D9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9" w:rsidRDefault="00CD29D9" w:rsidP="00CD29D9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Carga horária de Extensão: </w:t>
            </w:r>
            <w:r>
              <w:rPr>
                <w:rFonts w:cs="Arial"/>
                <w:szCs w:val="24"/>
              </w:rPr>
              <w:t>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9" w:rsidRDefault="00CD29D9" w:rsidP="00CD29D9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Carga horária de Pesquisa: </w:t>
            </w:r>
            <w:r>
              <w:rPr>
                <w:rFonts w:cs="Arial"/>
                <w:szCs w:val="24"/>
              </w:rPr>
              <w:t>---</w:t>
            </w:r>
          </w:p>
        </w:tc>
      </w:tr>
      <w:tr w:rsidR="00CD29D9" w:rsidRPr="00426BF1" w:rsidTr="00CD29D9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9" w:rsidRDefault="00CD29D9" w:rsidP="00CD29D9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Carga horária de prática: </w:t>
            </w:r>
            <w:r>
              <w:rPr>
                <w:rFonts w:cs="Arial"/>
                <w:szCs w:val="24"/>
              </w:rPr>
              <w:t>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9" w:rsidRDefault="00CD29D9" w:rsidP="00CD29D9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Carga horária </w:t>
            </w:r>
            <w:proofErr w:type="spellStart"/>
            <w:r>
              <w:rPr>
                <w:rFonts w:cs="Arial"/>
                <w:b/>
                <w:szCs w:val="24"/>
              </w:rPr>
              <w:t>EaD</w:t>
            </w:r>
            <w:proofErr w:type="spellEnd"/>
            <w:r>
              <w:rPr>
                <w:rFonts w:cs="Arial"/>
                <w:b/>
                <w:szCs w:val="24"/>
              </w:rPr>
              <w:t xml:space="preserve">: </w:t>
            </w:r>
            <w:r>
              <w:rPr>
                <w:rFonts w:cs="Arial"/>
                <w:szCs w:val="24"/>
              </w:rPr>
              <w:t>---</w:t>
            </w:r>
          </w:p>
        </w:tc>
      </w:tr>
      <w:tr w:rsidR="00DB6857" w:rsidRPr="00426BF1" w:rsidTr="00CD29D9">
        <w:trPr>
          <w:trHeight w:val="1536"/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CD29D9" w:rsidRDefault="00DB6857" w:rsidP="00CD29D9">
            <w:pPr>
              <w:spacing w:line="240" w:lineRule="auto"/>
              <w:ind w:left="0" w:firstLine="0"/>
              <w:rPr>
                <w:rFonts w:cs="Arial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Ementa: </w:t>
            </w:r>
            <w:r w:rsidR="009109C8" w:rsidRPr="009109C8">
              <w:rPr>
                <w:rFonts w:cs="Arial"/>
                <w:bCs/>
                <w:szCs w:val="24"/>
              </w:rPr>
              <w:t>Estudo da relação entre Dir</w:t>
            </w:r>
            <w:r w:rsidR="00DF1C81" w:rsidRPr="009109C8">
              <w:rPr>
                <w:rFonts w:eastAsia="Calibri" w:cs="Arial"/>
                <w:szCs w:val="24"/>
              </w:rPr>
              <w:t>eito</w:t>
            </w:r>
            <w:r w:rsidR="009109C8">
              <w:rPr>
                <w:rFonts w:eastAsia="Calibri" w:cs="Arial"/>
                <w:szCs w:val="24"/>
              </w:rPr>
              <w:t>,</w:t>
            </w:r>
            <w:r w:rsidR="00DF1C81" w:rsidRPr="0096408F">
              <w:rPr>
                <w:rFonts w:eastAsia="Calibri" w:cs="Arial"/>
                <w:szCs w:val="24"/>
              </w:rPr>
              <w:t xml:space="preserve"> Agricultura e </w:t>
            </w:r>
            <w:r w:rsidR="009109C8">
              <w:rPr>
                <w:rFonts w:eastAsia="Calibri" w:cs="Arial"/>
                <w:szCs w:val="24"/>
              </w:rPr>
              <w:t>M</w:t>
            </w:r>
            <w:r w:rsidR="00DF1C81" w:rsidRPr="0096408F">
              <w:rPr>
                <w:rFonts w:eastAsia="Calibri" w:cs="Arial"/>
                <w:szCs w:val="24"/>
              </w:rPr>
              <w:t xml:space="preserve">eio </w:t>
            </w:r>
            <w:r w:rsidR="009109C8">
              <w:rPr>
                <w:rFonts w:eastAsia="Calibri" w:cs="Arial"/>
                <w:szCs w:val="24"/>
              </w:rPr>
              <w:t>A</w:t>
            </w:r>
            <w:r w:rsidR="00DF1C81" w:rsidRPr="0096408F">
              <w:rPr>
                <w:rFonts w:eastAsia="Calibri" w:cs="Arial"/>
                <w:szCs w:val="24"/>
              </w:rPr>
              <w:t xml:space="preserve">mbiente. </w:t>
            </w:r>
            <w:r w:rsidR="009109C8">
              <w:rPr>
                <w:rFonts w:eastAsia="Calibri" w:cs="Arial"/>
                <w:szCs w:val="24"/>
              </w:rPr>
              <w:t>Discussão sobre os a</w:t>
            </w:r>
            <w:r w:rsidR="00DF1C81" w:rsidRPr="004D3ABE">
              <w:rPr>
                <w:rFonts w:cs="Arial"/>
                <w:szCs w:val="24"/>
              </w:rPr>
              <w:t xml:space="preserve">grotóxicos e </w:t>
            </w:r>
            <w:r w:rsidR="009109C8">
              <w:rPr>
                <w:rFonts w:cs="Arial"/>
                <w:szCs w:val="24"/>
              </w:rPr>
              <w:t>a</w:t>
            </w:r>
            <w:r w:rsidR="00DF1C81" w:rsidRPr="004D3ABE">
              <w:rPr>
                <w:rFonts w:cs="Arial"/>
                <w:szCs w:val="24"/>
              </w:rPr>
              <w:t>groquímicos.</w:t>
            </w:r>
            <w:r w:rsidR="00DF1C81" w:rsidRPr="0096408F">
              <w:rPr>
                <w:rFonts w:eastAsia="Calibri" w:cs="Arial"/>
                <w:szCs w:val="24"/>
              </w:rPr>
              <w:t xml:space="preserve"> </w:t>
            </w:r>
            <w:r w:rsidR="009109C8">
              <w:rPr>
                <w:rFonts w:eastAsia="Calibri" w:cs="Arial"/>
                <w:szCs w:val="24"/>
              </w:rPr>
              <w:t>Interpretação do registro de agrotóxicos, c</w:t>
            </w:r>
            <w:r w:rsidR="00DF1C81" w:rsidRPr="0096408F">
              <w:rPr>
                <w:rFonts w:eastAsia="Calibri" w:cs="Arial"/>
                <w:szCs w:val="24"/>
              </w:rPr>
              <w:t xml:space="preserve">ontrole, inspeção e fiscalização de agrotóxicos. </w:t>
            </w:r>
            <w:r w:rsidR="009109C8">
              <w:rPr>
                <w:rFonts w:eastAsia="Calibri" w:cs="Arial"/>
                <w:szCs w:val="24"/>
              </w:rPr>
              <w:t>Compreensão da a</w:t>
            </w:r>
            <w:r w:rsidR="00DF1C81" w:rsidRPr="004D3ABE">
              <w:rPr>
                <w:rFonts w:eastAsia="Calibri" w:cs="Arial"/>
                <w:szCs w:val="24"/>
              </w:rPr>
              <w:t>bordagem jurídica dos agrotóxicos</w:t>
            </w:r>
            <w:r w:rsidR="00DF1C81" w:rsidRPr="004D3ABE">
              <w:rPr>
                <w:rFonts w:cs="Arial"/>
                <w:szCs w:val="24"/>
              </w:rPr>
              <w:t xml:space="preserve"> e demais</w:t>
            </w:r>
            <w:bookmarkStart w:id="0" w:name="_GoBack"/>
            <w:bookmarkEnd w:id="0"/>
            <w:r w:rsidR="00DF1C81" w:rsidRPr="004D3ABE">
              <w:rPr>
                <w:rFonts w:cs="Arial"/>
                <w:szCs w:val="24"/>
              </w:rPr>
              <w:t xml:space="preserve"> agroquímicos</w:t>
            </w:r>
            <w:r w:rsidR="00DF1C81" w:rsidRPr="004D3ABE">
              <w:rPr>
                <w:rFonts w:eastAsia="Calibri" w:cs="Arial"/>
                <w:szCs w:val="24"/>
              </w:rPr>
              <w:t>.</w:t>
            </w:r>
            <w:r w:rsidR="00DF1C81" w:rsidRPr="0096408F">
              <w:rPr>
                <w:rFonts w:eastAsia="Calibri" w:cs="Arial"/>
                <w:szCs w:val="24"/>
              </w:rPr>
              <w:t xml:space="preserve"> </w:t>
            </w:r>
            <w:r w:rsidR="009109C8">
              <w:rPr>
                <w:rFonts w:eastAsia="Calibri" w:cs="Arial"/>
                <w:szCs w:val="24"/>
              </w:rPr>
              <w:t>Definição de f</w:t>
            </w:r>
            <w:r w:rsidR="00DF1C81" w:rsidRPr="004D3ABE">
              <w:rPr>
                <w:rFonts w:cs="Arial"/>
                <w:szCs w:val="24"/>
              </w:rPr>
              <w:t>ormas de recomendação de agrotóxicos e demais agroquímicos</w:t>
            </w:r>
            <w:r w:rsidR="00DF1C81" w:rsidRPr="004D3ABE">
              <w:rPr>
                <w:rFonts w:eastAsia="Calibri" w:cs="Arial"/>
                <w:szCs w:val="24"/>
              </w:rPr>
              <w:t>.</w:t>
            </w:r>
            <w:r w:rsidR="00DF1C81" w:rsidRPr="0096408F">
              <w:rPr>
                <w:rFonts w:eastAsia="Calibri" w:cs="Arial"/>
                <w:szCs w:val="24"/>
              </w:rPr>
              <w:t xml:space="preserve"> </w:t>
            </w:r>
            <w:r w:rsidR="009109C8">
              <w:rPr>
                <w:rFonts w:eastAsia="Calibri" w:cs="Arial"/>
                <w:szCs w:val="24"/>
              </w:rPr>
              <w:t>Relação entre a</w:t>
            </w:r>
            <w:r w:rsidR="00DF1C81" w:rsidRPr="0096408F">
              <w:rPr>
                <w:rFonts w:eastAsia="Calibri" w:cs="Arial"/>
                <w:szCs w:val="24"/>
              </w:rPr>
              <w:t xml:space="preserve">grotóxicos e meio ambiente. </w:t>
            </w:r>
            <w:r w:rsidR="009109C8">
              <w:rPr>
                <w:rFonts w:eastAsia="Calibri" w:cs="Arial"/>
                <w:szCs w:val="24"/>
              </w:rPr>
              <w:t>Estabelecimento da relação entre os a</w:t>
            </w:r>
            <w:r w:rsidR="00DF1C81" w:rsidRPr="0096408F">
              <w:rPr>
                <w:rFonts w:eastAsia="Calibri" w:cs="Arial"/>
                <w:szCs w:val="24"/>
              </w:rPr>
              <w:t xml:space="preserve">spectos legais </w:t>
            </w:r>
            <w:r w:rsidR="009109C8">
              <w:rPr>
                <w:rFonts w:eastAsia="Calibri" w:cs="Arial"/>
                <w:szCs w:val="24"/>
              </w:rPr>
              <w:t>e</w:t>
            </w:r>
            <w:r w:rsidR="00CD29D9">
              <w:rPr>
                <w:rFonts w:eastAsia="Calibri" w:cs="Arial"/>
                <w:szCs w:val="24"/>
              </w:rPr>
              <w:t xml:space="preserve"> agrotóxicos.</w:t>
            </w:r>
          </w:p>
        </w:tc>
      </w:tr>
    </w:tbl>
    <w:p w:rsidR="001D2083" w:rsidRPr="00426BF1" w:rsidRDefault="001D2083" w:rsidP="001D2083">
      <w:pPr>
        <w:autoSpaceDE w:val="0"/>
        <w:autoSpaceDN w:val="0"/>
        <w:spacing w:line="240" w:lineRule="auto"/>
        <w:rPr>
          <w:rFonts w:cs="Arial"/>
          <w:szCs w:val="24"/>
        </w:rPr>
      </w:pPr>
      <w:r w:rsidRPr="00426BF1">
        <w:rPr>
          <w:rFonts w:cs="Arial"/>
          <w:b/>
          <w:bCs/>
          <w:szCs w:val="24"/>
        </w:rPr>
        <w:t xml:space="preserve"> </w:t>
      </w:r>
    </w:p>
    <w:p w:rsidR="001D2083" w:rsidRDefault="001D2083" w:rsidP="001D2083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426BF1">
        <w:rPr>
          <w:rFonts w:cs="Arial"/>
          <w:b/>
          <w:bCs/>
          <w:szCs w:val="24"/>
        </w:rPr>
        <w:t>Conteúdos:</w:t>
      </w:r>
    </w:p>
    <w:p w:rsidR="007E366B" w:rsidRDefault="007E366B" w:rsidP="001D2083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:rsidR="007E366B" w:rsidRPr="00B73FD1" w:rsidRDefault="002116F2" w:rsidP="00B73FD1">
      <w:pPr>
        <w:spacing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zCs w:val="22"/>
        </w:rPr>
        <w:t xml:space="preserve">UNIDADE I: </w:t>
      </w:r>
      <w:r w:rsidR="007E366B" w:rsidRPr="00B73FD1">
        <w:rPr>
          <w:rFonts w:eastAsia="Calibri" w:cs="Arial"/>
          <w:b/>
          <w:szCs w:val="22"/>
        </w:rPr>
        <w:t>Direito</w:t>
      </w:r>
      <w:r w:rsidR="007E366B" w:rsidRPr="00B73FD1">
        <w:rPr>
          <w:rFonts w:eastAsia="Calibri" w:cs="Arial"/>
          <w:szCs w:val="22"/>
        </w:rPr>
        <w:t xml:space="preserve"> </w:t>
      </w:r>
    </w:p>
    <w:p w:rsidR="007E366B" w:rsidRPr="002116F2" w:rsidRDefault="002116F2" w:rsidP="00B73FD1">
      <w:pPr>
        <w:pStyle w:val="PargrafodaLista"/>
        <w:numPr>
          <w:ilvl w:val="1"/>
          <w:numId w:val="12"/>
        </w:numPr>
        <w:spacing w:line="240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Noções gerais</w:t>
      </w:r>
    </w:p>
    <w:p w:rsidR="007E366B" w:rsidRPr="00B73FD1" w:rsidRDefault="007E366B" w:rsidP="00B73FD1">
      <w:pPr>
        <w:pStyle w:val="PargrafodaLista"/>
        <w:numPr>
          <w:ilvl w:val="1"/>
          <w:numId w:val="12"/>
        </w:numPr>
        <w:spacing w:line="240" w:lineRule="auto"/>
        <w:rPr>
          <w:rFonts w:ascii="Arial" w:eastAsia="Calibri" w:hAnsi="Arial" w:cs="Arial"/>
          <w:szCs w:val="22"/>
        </w:rPr>
      </w:pPr>
      <w:r w:rsidRPr="00B73FD1">
        <w:rPr>
          <w:rFonts w:ascii="Arial" w:eastAsia="Calibri" w:hAnsi="Arial" w:cs="Arial"/>
          <w:szCs w:val="22"/>
        </w:rPr>
        <w:t xml:space="preserve"> Fontes</w:t>
      </w:r>
    </w:p>
    <w:p w:rsidR="007E366B" w:rsidRPr="00B73FD1" w:rsidRDefault="007E366B" w:rsidP="00B73FD1">
      <w:pPr>
        <w:pStyle w:val="PargrafodaLista"/>
        <w:numPr>
          <w:ilvl w:val="1"/>
          <w:numId w:val="12"/>
        </w:numPr>
        <w:spacing w:line="240" w:lineRule="auto"/>
        <w:rPr>
          <w:rFonts w:ascii="Arial" w:eastAsia="Calibri" w:hAnsi="Arial" w:cs="Arial"/>
          <w:szCs w:val="22"/>
        </w:rPr>
      </w:pPr>
      <w:r w:rsidRPr="00B73FD1">
        <w:rPr>
          <w:rFonts w:ascii="Arial" w:eastAsia="Calibri" w:hAnsi="Arial" w:cs="Arial"/>
          <w:szCs w:val="22"/>
        </w:rPr>
        <w:t xml:space="preserve">Legislação </w:t>
      </w:r>
    </w:p>
    <w:p w:rsidR="007E366B" w:rsidRPr="00B73FD1" w:rsidRDefault="007E366B" w:rsidP="00B73FD1">
      <w:pPr>
        <w:pStyle w:val="PargrafodaLista"/>
        <w:numPr>
          <w:ilvl w:val="1"/>
          <w:numId w:val="12"/>
        </w:numPr>
        <w:spacing w:line="240" w:lineRule="auto"/>
        <w:rPr>
          <w:rFonts w:ascii="Arial" w:eastAsia="Calibri" w:hAnsi="Arial" w:cs="Arial"/>
          <w:szCs w:val="22"/>
        </w:rPr>
      </w:pPr>
      <w:r w:rsidRPr="00B73FD1">
        <w:rPr>
          <w:rFonts w:ascii="Arial" w:eastAsia="Calibri" w:hAnsi="Arial" w:cs="Arial"/>
          <w:szCs w:val="22"/>
        </w:rPr>
        <w:t>Noções de Direito Agroambiental.</w:t>
      </w: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  <w:r w:rsidRPr="00B73FD1">
        <w:rPr>
          <w:rFonts w:cs="Arial"/>
          <w:b/>
          <w:bCs/>
          <w:szCs w:val="22"/>
        </w:rPr>
        <w:t>UNIDADE II: Agricultura e meio ambiente</w:t>
      </w: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Cs/>
          <w:szCs w:val="22"/>
        </w:rPr>
      </w:pPr>
      <w:r w:rsidRPr="00B73FD1">
        <w:rPr>
          <w:rFonts w:cs="Arial"/>
          <w:bCs/>
          <w:szCs w:val="22"/>
        </w:rPr>
        <w:t>2.1 Desenvolvimento agrícola sustentável</w:t>
      </w: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Cs/>
          <w:szCs w:val="22"/>
        </w:rPr>
      </w:pPr>
      <w:r w:rsidRPr="00B73FD1">
        <w:rPr>
          <w:rFonts w:cs="Arial"/>
          <w:bCs/>
          <w:szCs w:val="22"/>
        </w:rPr>
        <w:t>2.1</w:t>
      </w:r>
      <w:r w:rsidRPr="00B73FD1">
        <w:rPr>
          <w:rFonts w:cs="Arial"/>
          <w:bCs/>
          <w:szCs w:val="22"/>
        </w:rPr>
        <w:tab/>
        <w:t>Recursos hídricos e a atividade agrícola</w:t>
      </w: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Cs/>
          <w:szCs w:val="22"/>
        </w:rPr>
      </w:pPr>
      <w:r w:rsidRPr="00B73FD1">
        <w:rPr>
          <w:rFonts w:cs="Arial"/>
          <w:bCs/>
          <w:szCs w:val="22"/>
        </w:rPr>
        <w:t>2.2</w:t>
      </w:r>
      <w:r w:rsidRPr="00B73FD1">
        <w:rPr>
          <w:rFonts w:cs="Arial"/>
          <w:bCs/>
          <w:szCs w:val="22"/>
        </w:rPr>
        <w:tab/>
        <w:t>Proteção ambiental nas atividades agrícolas</w:t>
      </w: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Cs/>
          <w:szCs w:val="22"/>
        </w:rPr>
      </w:pPr>
      <w:r w:rsidRPr="00B73FD1">
        <w:rPr>
          <w:rFonts w:cs="Arial"/>
          <w:bCs/>
          <w:szCs w:val="22"/>
        </w:rPr>
        <w:t>2.3</w:t>
      </w:r>
      <w:r w:rsidRPr="00B73FD1">
        <w:rPr>
          <w:rFonts w:cs="Arial"/>
          <w:bCs/>
          <w:szCs w:val="22"/>
        </w:rPr>
        <w:tab/>
        <w:t>Responsabilização agroambiental.</w:t>
      </w: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  <w:r w:rsidRPr="00B73FD1">
        <w:rPr>
          <w:rFonts w:cs="Arial"/>
          <w:b/>
          <w:bCs/>
          <w:szCs w:val="22"/>
        </w:rPr>
        <w:t xml:space="preserve">UNIDADE III: </w:t>
      </w:r>
      <w:r w:rsidRPr="00B73FD1">
        <w:rPr>
          <w:rFonts w:cs="Arial"/>
          <w:b/>
          <w:szCs w:val="22"/>
        </w:rPr>
        <w:t>Agrotóxicos e Agroquímicos</w:t>
      </w: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szCs w:val="22"/>
        </w:rPr>
      </w:pPr>
      <w:r w:rsidRPr="00B73FD1">
        <w:rPr>
          <w:rFonts w:cs="Arial"/>
          <w:bCs/>
          <w:szCs w:val="22"/>
        </w:rPr>
        <w:t xml:space="preserve">3.1 </w:t>
      </w:r>
      <w:r w:rsidRPr="00B73FD1">
        <w:rPr>
          <w:rFonts w:cs="Arial"/>
          <w:szCs w:val="22"/>
        </w:rPr>
        <w:t>Definições</w:t>
      </w: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Cs/>
          <w:szCs w:val="22"/>
        </w:rPr>
      </w:pPr>
      <w:r w:rsidRPr="00B73FD1">
        <w:rPr>
          <w:rFonts w:cs="Arial"/>
          <w:bCs/>
          <w:szCs w:val="22"/>
        </w:rPr>
        <w:t xml:space="preserve">3.2 </w:t>
      </w:r>
      <w:r w:rsidRPr="00B73FD1">
        <w:rPr>
          <w:rFonts w:cs="Arial"/>
          <w:szCs w:val="22"/>
        </w:rPr>
        <w:t>Implicações ambientais e legislação básica.</w:t>
      </w: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</w:p>
    <w:p w:rsidR="007E366B" w:rsidRPr="00B73FD1" w:rsidRDefault="007E366B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  <w:r w:rsidRPr="00B73FD1">
        <w:rPr>
          <w:rFonts w:cs="Arial"/>
          <w:b/>
          <w:bCs/>
          <w:szCs w:val="22"/>
        </w:rPr>
        <w:t xml:space="preserve">UNIDADE IV: </w:t>
      </w:r>
      <w:r w:rsidRPr="00B73FD1">
        <w:rPr>
          <w:rFonts w:eastAsia="Calibri" w:cs="Arial"/>
          <w:b/>
          <w:szCs w:val="22"/>
        </w:rPr>
        <w:t>Registro de agrotóxicos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bCs/>
          <w:szCs w:val="22"/>
        </w:rPr>
        <w:t xml:space="preserve">4.1 </w:t>
      </w:r>
      <w:r w:rsidRPr="00B73FD1">
        <w:rPr>
          <w:rFonts w:eastAsia="Calibri" w:cs="Arial"/>
          <w:szCs w:val="22"/>
        </w:rPr>
        <w:t>Registro geral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bCs/>
          <w:szCs w:val="22"/>
        </w:rPr>
        <w:t xml:space="preserve">4.2 </w:t>
      </w:r>
      <w:r w:rsidRPr="00B73FD1">
        <w:rPr>
          <w:rFonts w:eastAsia="Calibri" w:cs="Arial"/>
          <w:szCs w:val="22"/>
        </w:rPr>
        <w:t>Registro especial temporário (RET) para fins de pesquisa e experimentação agrícola</w:t>
      </w:r>
    </w:p>
    <w:p w:rsidR="007E366B" w:rsidRPr="00B73FD1" w:rsidRDefault="000A7855" w:rsidP="00B73FD1">
      <w:pPr>
        <w:autoSpaceDE w:val="0"/>
        <w:autoSpaceDN w:val="0"/>
        <w:spacing w:line="240" w:lineRule="auto"/>
        <w:rPr>
          <w:rFonts w:cs="Arial"/>
          <w:bCs/>
          <w:szCs w:val="22"/>
        </w:rPr>
      </w:pPr>
      <w:r w:rsidRPr="00B73FD1">
        <w:rPr>
          <w:rFonts w:cs="Arial"/>
          <w:bCs/>
          <w:szCs w:val="22"/>
        </w:rPr>
        <w:t xml:space="preserve">4.3 </w:t>
      </w:r>
      <w:r w:rsidRPr="00B73FD1">
        <w:rPr>
          <w:rFonts w:eastAsia="Calibri" w:cs="Arial"/>
          <w:szCs w:val="22"/>
        </w:rPr>
        <w:t>Registro por equivalência.</w:t>
      </w:r>
    </w:p>
    <w:p w:rsidR="001D2083" w:rsidRPr="00B73FD1" w:rsidRDefault="001D2083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eastAsia="Calibri" w:cs="Arial"/>
          <w:b/>
          <w:szCs w:val="22"/>
        </w:rPr>
      </w:pPr>
      <w:r w:rsidRPr="00B73FD1">
        <w:rPr>
          <w:rFonts w:cs="Arial"/>
          <w:b/>
          <w:bCs/>
          <w:szCs w:val="22"/>
        </w:rPr>
        <w:t xml:space="preserve">UNIDADE V: </w:t>
      </w:r>
      <w:r w:rsidRPr="00B73FD1">
        <w:rPr>
          <w:rFonts w:eastAsia="Calibri" w:cs="Arial"/>
          <w:b/>
          <w:szCs w:val="22"/>
        </w:rPr>
        <w:t>Controle, inspeção e fiscalização de agrotóxicos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cs="Arial"/>
          <w:bCs/>
          <w:szCs w:val="22"/>
        </w:rPr>
      </w:pPr>
      <w:r w:rsidRPr="00B73FD1">
        <w:rPr>
          <w:rFonts w:cs="Arial"/>
          <w:bCs/>
          <w:szCs w:val="22"/>
        </w:rPr>
        <w:t xml:space="preserve">5.1 </w:t>
      </w:r>
      <w:r w:rsidRPr="00B73FD1">
        <w:rPr>
          <w:rFonts w:eastAsia="Calibri" w:cs="Arial"/>
          <w:szCs w:val="22"/>
        </w:rPr>
        <w:t>Aspectos</w:t>
      </w:r>
      <w:r w:rsidRPr="00B73FD1">
        <w:rPr>
          <w:rFonts w:cs="Arial"/>
          <w:szCs w:val="22"/>
        </w:rPr>
        <w:t xml:space="preserve"> gerais e</w:t>
      </w:r>
      <w:r w:rsidRPr="00B73FD1">
        <w:rPr>
          <w:rFonts w:eastAsia="Calibri" w:cs="Arial"/>
          <w:szCs w:val="22"/>
        </w:rPr>
        <w:t xml:space="preserve"> legais</w:t>
      </w:r>
      <w:r w:rsidRPr="00B73FD1">
        <w:rPr>
          <w:rFonts w:cs="Arial"/>
          <w:szCs w:val="22"/>
        </w:rPr>
        <w:t xml:space="preserve"> de c</w:t>
      </w:r>
      <w:r w:rsidRPr="00B73FD1">
        <w:rPr>
          <w:rFonts w:eastAsia="Calibri" w:cs="Arial"/>
          <w:szCs w:val="22"/>
        </w:rPr>
        <w:t>ontrole, inspeção e fiscalização de agrotóxicos</w:t>
      </w:r>
      <w:r w:rsidRPr="00B73FD1">
        <w:rPr>
          <w:rFonts w:cs="Arial"/>
          <w:szCs w:val="22"/>
        </w:rPr>
        <w:t>.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  <w:r w:rsidRPr="00B73FD1">
        <w:rPr>
          <w:rFonts w:cs="Arial"/>
          <w:b/>
          <w:bCs/>
          <w:szCs w:val="22"/>
        </w:rPr>
        <w:t xml:space="preserve">UNIDADE VI: </w:t>
      </w:r>
      <w:r w:rsidRPr="00B73FD1">
        <w:rPr>
          <w:rFonts w:eastAsia="Calibri" w:cs="Arial"/>
          <w:b/>
          <w:szCs w:val="22"/>
        </w:rPr>
        <w:t>Abordagem jurídica dos agrotóxicos</w:t>
      </w:r>
      <w:r w:rsidRPr="00B73FD1">
        <w:rPr>
          <w:rFonts w:cs="Arial"/>
          <w:b/>
          <w:szCs w:val="22"/>
        </w:rPr>
        <w:t xml:space="preserve"> e demais agroquímicos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cs="Arial"/>
          <w:szCs w:val="22"/>
        </w:rPr>
      </w:pPr>
      <w:r w:rsidRPr="00B73FD1">
        <w:rPr>
          <w:rFonts w:cs="Arial"/>
          <w:bCs/>
          <w:szCs w:val="22"/>
        </w:rPr>
        <w:t xml:space="preserve">6.1 </w:t>
      </w:r>
      <w:r w:rsidRPr="00B73FD1">
        <w:rPr>
          <w:rFonts w:eastAsia="Calibri" w:cs="Arial"/>
          <w:szCs w:val="22"/>
        </w:rPr>
        <w:t>Competência para legislar sobre agrotóxicos</w:t>
      </w:r>
      <w:r w:rsidRPr="00B73FD1">
        <w:rPr>
          <w:rFonts w:cs="Arial"/>
          <w:szCs w:val="22"/>
        </w:rPr>
        <w:t xml:space="preserve"> e demais agroquímicos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bCs/>
          <w:szCs w:val="22"/>
        </w:rPr>
        <w:t xml:space="preserve">6.2 </w:t>
      </w:r>
      <w:r w:rsidRPr="00B73FD1">
        <w:rPr>
          <w:rFonts w:eastAsia="Calibri" w:cs="Arial"/>
          <w:szCs w:val="22"/>
        </w:rPr>
        <w:t>Responsabilidades por dano ambiental causado por agrotóxicos: civil, penal e administrativa.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bCs/>
          <w:szCs w:val="22"/>
        </w:rPr>
        <w:lastRenderedPageBreak/>
        <w:t xml:space="preserve">6.3 </w:t>
      </w:r>
      <w:r w:rsidRPr="00B73FD1">
        <w:rPr>
          <w:rFonts w:eastAsia="Calibri" w:cs="Arial"/>
          <w:szCs w:val="22"/>
        </w:rPr>
        <w:t>Instrumentos de prevenção e</w:t>
      </w:r>
      <w:r w:rsidR="00B73FD1">
        <w:rPr>
          <w:rFonts w:eastAsia="Calibri" w:cs="Arial"/>
          <w:szCs w:val="22"/>
        </w:rPr>
        <w:t xml:space="preserve"> a reparação por dano ambiental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bCs/>
          <w:szCs w:val="22"/>
        </w:rPr>
        <w:t xml:space="preserve">6.4 </w:t>
      </w:r>
      <w:r w:rsidRPr="00B73FD1">
        <w:rPr>
          <w:rFonts w:eastAsia="Calibri" w:cs="Arial"/>
          <w:szCs w:val="22"/>
        </w:rPr>
        <w:t>Legislação trabalhista e os agrotóxicos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cs="Arial"/>
          <w:b/>
          <w:bCs/>
          <w:szCs w:val="22"/>
        </w:rPr>
      </w:pP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cs="Arial"/>
          <w:b/>
          <w:szCs w:val="22"/>
        </w:rPr>
      </w:pPr>
      <w:r w:rsidRPr="00B73FD1">
        <w:rPr>
          <w:rFonts w:cs="Arial"/>
          <w:b/>
          <w:bCs/>
          <w:szCs w:val="22"/>
        </w:rPr>
        <w:t xml:space="preserve">UNIDADE VII: </w:t>
      </w:r>
      <w:r w:rsidRPr="00B73FD1">
        <w:rPr>
          <w:rFonts w:cs="Arial"/>
          <w:b/>
          <w:szCs w:val="22"/>
        </w:rPr>
        <w:t>Formas de recomendação de agrotóxicos e demais agroquímicos</w:t>
      </w:r>
    </w:p>
    <w:p w:rsidR="000A7855" w:rsidRPr="00B73FD1" w:rsidRDefault="000A7855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 xml:space="preserve">7.1 </w:t>
      </w:r>
      <w:r w:rsidR="00BB2129" w:rsidRPr="00B73FD1">
        <w:rPr>
          <w:rFonts w:eastAsia="Calibri" w:cs="Arial"/>
          <w:szCs w:val="22"/>
        </w:rPr>
        <w:t>Aspectos</w:t>
      </w:r>
      <w:r w:rsidR="00BB2129" w:rsidRPr="00B73FD1">
        <w:rPr>
          <w:rFonts w:cs="Arial"/>
          <w:szCs w:val="22"/>
        </w:rPr>
        <w:t xml:space="preserve"> gerais e</w:t>
      </w:r>
      <w:r w:rsidR="00BB2129" w:rsidRPr="00B73FD1">
        <w:rPr>
          <w:rFonts w:eastAsia="Calibri" w:cs="Arial"/>
          <w:szCs w:val="22"/>
        </w:rPr>
        <w:t xml:space="preserve"> legais</w:t>
      </w:r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cs="Arial"/>
          <w:szCs w:val="22"/>
        </w:rPr>
      </w:pPr>
      <w:r w:rsidRPr="00B73FD1">
        <w:rPr>
          <w:rFonts w:cs="Arial"/>
          <w:szCs w:val="22"/>
        </w:rPr>
        <w:t>7.2 Proteção fitossanitária;</w:t>
      </w:r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 xml:space="preserve">7.3 </w:t>
      </w:r>
      <w:r w:rsidRPr="00B73FD1">
        <w:rPr>
          <w:rFonts w:eastAsia="Calibri" w:cs="Arial"/>
          <w:szCs w:val="22"/>
        </w:rPr>
        <w:t>Receituário agronômico como instrumento de proteção ambiental</w:t>
      </w:r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 xml:space="preserve">7.4 </w:t>
      </w:r>
      <w:r w:rsidRPr="00B73FD1">
        <w:rPr>
          <w:rFonts w:eastAsia="Calibri" w:cs="Arial"/>
          <w:szCs w:val="22"/>
        </w:rPr>
        <w:t>Responsabilidade profissional</w:t>
      </w:r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cs="Arial"/>
          <w:b/>
          <w:szCs w:val="22"/>
        </w:rPr>
      </w:pPr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eastAsia="Calibri" w:cs="Arial"/>
          <w:b/>
          <w:szCs w:val="22"/>
        </w:rPr>
      </w:pPr>
      <w:r w:rsidRPr="00B73FD1">
        <w:rPr>
          <w:rFonts w:cs="Arial"/>
          <w:b/>
          <w:szCs w:val="22"/>
        </w:rPr>
        <w:t xml:space="preserve">UNIDADE VIII: </w:t>
      </w:r>
      <w:r w:rsidRPr="00B73FD1">
        <w:rPr>
          <w:rFonts w:eastAsia="Calibri" w:cs="Arial"/>
          <w:b/>
          <w:szCs w:val="22"/>
        </w:rPr>
        <w:t>Agrotóxicos e meio ambiente</w:t>
      </w:r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 xml:space="preserve">8.1 </w:t>
      </w:r>
      <w:r w:rsidRPr="00B73FD1">
        <w:rPr>
          <w:rFonts w:eastAsia="Calibri" w:cs="Arial"/>
          <w:szCs w:val="22"/>
        </w:rPr>
        <w:t>Comportamento e destino dos agrotóxicos no ambiente solo-água</w:t>
      </w:r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 xml:space="preserve">8.2 </w:t>
      </w:r>
      <w:proofErr w:type="spellStart"/>
      <w:r w:rsidRPr="00B73FD1">
        <w:rPr>
          <w:rFonts w:eastAsia="Calibri" w:cs="Arial"/>
          <w:szCs w:val="22"/>
        </w:rPr>
        <w:t>Biotransformação</w:t>
      </w:r>
      <w:proofErr w:type="spellEnd"/>
      <w:r w:rsidRPr="00B73FD1">
        <w:rPr>
          <w:rFonts w:eastAsia="Calibri" w:cs="Arial"/>
          <w:szCs w:val="22"/>
        </w:rPr>
        <w:t xml:space="preserve"> e </w:t>
      </w:r>
      <w:proofErr w:type="spellStart"/>
      <w:r w:rsidRPr="00B73FD1">
        <w:rPr>
          <w:rFonts w:eastAsia="Calibri" w:cs="Arial"/>
          <w:szCs w:val="22"/>
        </w:rPr>
        <w:t>biorremediação</w:t>
      </w:r>
      <w:proofErr w:type="spellEnd"/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 xml:space="preserve">8.3 </w:t>
      </w:r>
      <w:r w:rsidRPr="00B73FD1">
        <w:rPr>
          <w:rFonts w:eastAsia="Calibri" w:cs="Arial"/>
          <w:szCs w:val="22"/>
        </w:rPr>
        <w:t>Biodegradação e persistência</w:t>
      </w:r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 xml:space="preserve">8.4 </w:t>
      </w:r>
      <w:r w:rsidRPr="00B73FD1">
        <w:rPr>
          <w:rFonts w:eastAsia="Calibri" w:cs="Arial"/>
          <w:szCs w:val="22"/>
        </w:rPr>
        <w:t xml:space="preserve">Influência da tecnologia de aplicação no </w:t>
      </w:r>
      <w:proofErr w:type="spellStart"/>
      <w:r w:rsidRPr="00B73FD1">
        <w:rPr>
          <w:rFonts w:eastAsia="Calibri" w:cs="Arial"/>
          <w:szCs w:val="22"/>
        </w:rPr>
        <w:t>agroecossistema</w:t>
      </w:r>
      <w:proofErr w:type="spellEnd"/>
    </w:p>
    <w:p w:rsidR="00BB2129" w:rsidRPr="00B73FD1" w:rsidRDefault="00BB2129" w:rsidP="00B73FD1">
      <w:pPr>
        <w:autoSpaceDE w:val="0"/>
        <w:autoSpaceDN w:val="0"/>
        <w:spacing w:line="240" w:lineRule="auto"/>
        <w:rPr>
          <w:rFonts w:cs="Arial"/>
          <w:b/>
          <w:szCs w:val="22"/>
        </w:rPr>
      </w:pPr>
    </w:p>
    <w:p w:rsidR="00B73FD1" w:rsidRPr="00B73FD1" w:rsidRDefault="00BB2129" w:rsidP="00B73FD1">
      <w:pPr>
        <w:autoSpaceDE w:val="0"/>
        <w:autoSpaceDN w:val="0"/>
        <w:spacing w:line="240" w:lineRule="auto"/>
        <w:rPr>
          <w:rFonts w:eastAsia="Calibri" w:cs="Arial"/>
          <w:b/>
          <w:szCs w:val="22"/>
        </w:rPr>
      </w:pPr>
      <w:r w:rsidRPr="00B73FD1">
        <w:rPr>
          <w:rFonts w:cs="Arial"/>
          <w:b/>
          <w:szCs w:val="22"/>
        </w:rPr>
        <w:t>UNIDADE IX</w:t>
      </w:r>
      <w:r w:rsidR="00B73FD1" w:rsidRPr="00B73FD1">
        <w:rPr>
          <w:rFonts w:cs="Arial"/>
          <w:b/>
          <w:szCs w:val="22"/>
        </w:rPr>
        <w:t xml:space="preserve">: </w:t>
      </w:r>
      <w:r w:rsidR="00B73FD1" w:rsidRPr="00B73FD1">
        <w:rPr>
          <w:rFonts w:eastAsia="Calibri" w:cs="Arial"/>
          <w:b/>
          <w:szCs w:val="22"/>
        </w:rPr>
        <w:t>Aspectos legais associados a agrotóxicos</w:t>
      </w:r>
    </w:p>
    <w:p w:rsidR="00B73FD1" w:rsidRPr="00B73FD1" w:rsidRDefault="00B73FD1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>9.</w:t>
      </w:r>
      <w:r w:rsidRPr="00B73FD1">
        <w:rPr>
          <w:rFonts w:eastAsia="Calibri" w:cs="Arial"/>
          <w:szCs w:val="22"/>
        </w:rPr>
        <w:t>1 Contrabando de agrotóxicos</w:t>
      </w:r>
    </w:p>
    <w:p w:rsidR="00B73FD1" w:rsidRPr="00B73FD1" w:rsidRDefault="00B73FD1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 xml:space="preserve">9.2 </w:t>
      </w:r>
      <w:r w:rsidRPr="00B73FD1">
        <w:rPr>
          <w:rFonts w:eastAsia="Calibri" w:cs="Arial"/>
          <w:szCs w:val="22"/>
        </w:rPr>
        <w:t>Mistura de agrotóxicos em tanque</w:t>
      </w:r>
    </w:p>
    <w:p w:rsidR="00B73FD1" w:rsidRPr="00B73FD1" w:rsidRDefault="00B73FD1" w:rsidP="00B73FD1">
      <w:pPr>
        <w:autoSpaceDE w:val="0"/>
        <w:autoSpaceDN w:val="0"/>
        <w:spacing w:line="240" w:lineRule="auto"/>
        <w:rPr>
          <w:rFonts w:eastAsia="Calibri" w:cs="Arial"/>
          <w:szCs w:val="22"/>
        </w:rPr>
      </w:pPr>
      <w:r w:rsidRPr="00B73FD1">
        <w:rPr>
          <w:rFonts w:cs="Arial"/>
          <w:szCs w:val="22"/>
        </w:rPr>
        <w:t>9.3</w:t>
      </w:r>
      <w:r w:rsidRPr="00B73FD1">
        <w:rPr>
          <w:rFonts w:eastAsia="Calibri" w:cs="Arial"/>
          <w:szCs w:val="22"/>
        </w:rPr>
        <w:t xml:space="preserve"> O Código de Defesa do Consumidor e os agrotóxicos</w:t>
      </w:r>
    </w:p>
    <w:p w:rsidR="00B73FD1" w:rsidRPr="00B73FD1" w:rsidRDefault="00B73FD1" w:rsidP="00B73FD1">
      <w:pPr>
        <w:autoSpaceDE w:val="0"/>
        <w:autoSpaceDN w:val="0"/>
        <w:spacing w:line="240" w:lineRule="auto"/>
        <w:rPr>
          <w:rFonts w:cs="Arial"/>
          <w:szCs w:val="22"/>
        </w:rPr>
      </w:pPr>
      <w:r w:rsidRPr="00B73FD1">
        <w:rPr>
          <w:rFonts w:cs="Arial"/>
          <w:szCs w:val="22"/>
        </w:rPr>
        <w:t>9.4</w:t>
      </w:r>
      <w:r w:rsidRPr="00B73FD1">
        <w:rPr>
          <w:rFonts w:eastAsia="Calibri" w:cs="Arial"/>
          <w:szCs w:val="22"/>
        </w:rPr>
        <w:t xml:space="preserve"> Disciplina legal do destino final das embalagens vazias de agrotóxicos.</w:t>
      </w:r>
    </w:p>
    <w:p w:rsidR="00B73FD1" w:rsidRPr="00B73FD1" w:rsidRDefault="00B73FD1" w:rsidP="00B73FD1">
      <w:pPr>
        <w:autoSpaceDE w:val="0"/>
        <w:autoSpaceDN w:val="0"/>
        <w:spacing w:line="240" w:lineRule="auto"/>
        <w:rPr>
          <w:rFonts w:cs="Arial"/>
          <w:b/>
          <w:szCs w:val="22"/>
        </w:rPr>
      </w:pPr>
    </w:p>
    <w:p w:rsidR="00E1192F" w:rsidRPr="00426BF1" w:rsidRDefault="00E1192F" w:rsidP="00CD29D9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b/>
          <w:szCs w:val="24"/>
        </w:rPr>
        <w:t>Bibliografia Básica</w:t>
      </w:r>
    </w:p>
    <w:p w:rsidR="000C2484" w:rsidRDefault="000C2484" w:rsidP="00CD29D9">
      <w:pPr>
        <w:autoSpaceDE w:val="0"/>
        <w:autoSpaceDN w:val="0"/>
        <w:spacing w:line="240" w:lineRule="auto"/>
        <w:contextualSpacing/>
      </w:pPr>
      <w:r>
        <w:t xml:space="preserve">ANTUNES, Paulo de Bessa. </w:t>
      </w:r>
      <w:r>
        <w:rPr>
          <w:b/>
          <w:bCs/>
        </w:rPr>
        <w:t xml:space="preserve">Direito Ambiental. </w:t>
      </w:r>
      <w:r>
        <w:t xml:space="preserve">13. ed. Rio de Janeiro, RJ: </w:t>
      </w:r>
      <w:proofErr w:type="spellStart"/>
      <w:r>
        <w:t>Lumen</w:t>
      </w:r>
      <w:proofErr w:type="spellEnd"/>
      <w:r>
        <w:t xml:space="preserve"> Juris, 2011.</w:t>
      </w:r>
    </w:p>
    <w:p w:rsidR="000C2484" w:rsidRPr="002D1D3D" w:rsidRDefault="000C2484" w:rsidP="00CD29D9">
      <w:pPr>
        <w:autoSpaceDE w:val="0"/>
        <w:autoSpaceDN w:val="0"/>
        <w:spacing w:line="240" w:lineRule="auto"/>
        <w:contextualSpacing/>
      </w:pPr>
      <w:r>
        <w:t xml:space="preserve">CARVALHO, Carlos Gomes de. </w:t>
      </w:r>
      <w:r>
        <w:rPr>
          <w:b/>
          <w:bCs/>
        </w:rPr>
        <w:t xml:space="preserve">Introdução ao Direito Ambiental. </w:t>
      </w:r>
      <w:r>
        <w:t xml:space="preserve"> São Paulo: Ed. Letras e Letras, 2001.</w:t>
      </w:r>
    </w:p>
    <w:p w:rsidR="000C2484" w:rsidRDefault="000C2484" w:rsidP="00CD29D9">
      <w:pPr>
        <w:autoSpaceDE w:val="0"/>
        <w:autoSpaceDN w:val="0"/>
        <w:spacing w:line="240" w:lineRule="auto"/>
        <w:contextualSpacing/>
      </w:pPr>
      <w:r>
        <w:t xml:space="preserve">MAZZA, Alexandre. </w:t>
      </w:r>
      <w:r>
        <w:rPr>
          <w:b/>
          <w:bCs/>
        </w:rPr>
        <w:t xml:space="preserve">Manual de Direito Administrativo. </w:t>
      </w:r>
      <w:r>
        <w:t xml:space="preserve"> São Paulo: Saraiva, 2013. </w:t>
      </w:r>
    </w:p>
    <w:p w:rsidR="00C30403" w:rsidRPr="00446840" w:rsidRDefault="00C30403" w:rsidP="00CD29D9">
      <w:pPr>
        <w:spacing w:line="240" w:lineRule="auto"/>
        <w:rPr>
          <w:rFonts w:cs="Arial"/>
        </w:rPr>
      </w:pPr>
    </w:p>
    <w:p w:rsidR="00C30403" w:rsidRPr="00446840" w:rsidRDefault="00C30403" w:rsidP="00CD29D9">
      <w:pPr>
        <w:spacing w:line="240" w:lineRule="auto"/>
        <w:rPr>
          <w:rFonts w:cs="Arial"/>
          <w:b/>
        </w:rPr>
      </w:pPr>
      <w:r w:rsidRPr="00446840">
        <w:rPr>
          <w:rFonts w:cs="Arial"/>
          <w:b/>
        </w:rPr>
        <w:t>Bibliografia Complementar</w:t>
      </w:r>
    </w:p>
    <w:p w:rsidR="000C2484" w:rsidRDefault="000C2484" w:rsidP="00CD29D9">
      <w:pPr>
        <w:overflowPunct w:val="0"/>
        <w:autoSpaceDE w:val="0"/>
        <w:autoSpaceDN w:val="0"/>
        <w:spacing w:line="240" w:lineRule="auto"/>
        <w:contextualSpacing/>
      </w:pPr>
      <w:r>
        <w:t xml:space="preserve">BRANCATO, Ricardo Teixeira. </w:t>
      </w:r>
      <w:r>
        <w:rPr>
          <w:b/>
          <w:bCs/>
        </w:rPr>
        <w:t xml:space="preserve">Instituições de Direito Público e de Direito Privado. </w:t>
      </w:r>
      <w:r>
        <w:t>14. ed. Saraiva,2011</w:t>
      </w:r>
    </w:p>
    <w:p w:rsidR="000C2484" w:rsidRDefault="000C2484" w:rsidP="00CD29D9">
      <w:pPr>
        <w:overflowPunct w:val="0"/>
        <w:autoSpaceDE w:val="0"/>
        <w:autoSpaceDN w:val="0"/>
        <w:spacing w:line="240" w:lineRule="auto"/>
        <w:contextualSpacing/>
      </w:pPr>
      <w:r>
        <w:t xml:space="preserve">BRASIL. </w:t>
      </w:r>
      <w:r w:rsidRPr="000C2484">
        <w:rPr>
          <w:b/>
        </w:rPr>
        <w:t>Constituição da República Federativa do Brasil</w:t>
      </w:r>
      <w:r>
        <w:t>. São Paulo: Ed. RT, 2014.</w:t>
      </w:r>
    </w:p>
    <w:p w:rsidR="000C2484" w:rsidRDefault="000C2484" w:rsidP="00CD29D9">
      <w:pPr>
        <w:autoSpaceDE w:val="0"/>
        <w:autoSpaceDN w:val="0"/>
        <w:spacing w:line="240" w:lineRule="auto"/>
        <w:contextualSpacing/>
      </w:pPr>
      <w:r>
        <w:t xml:space="preserve">COTRIM, Gilberto. </w:t>
      </w:r>
      <w:r>
        <w:rPr>
          <w:b/>
          <w:bCs/>
        </w:rPr>
        <w:t xml:space="preserve">Direito Fundamental: </w:t>
      </w:r>
      <w:r>
        <w:t xml:space="preserve">Instituições de direito público e privado. São Paulo: Saraiva, 2009. </w:t>
      </w:r>
      <w:r>
        <w:tab/>
      </w:r>
    </w:p>
    <w:p w:rsidR="000C2484" w:rsidRDefault="000C2484" w:rsidP="00CD29D9">
      <w:pPr>
        <w:autoSpaceDE w:val="0"/>
        <w:autoSpaceDN w:val="0"/>
        <w:spacing w:line="240" w:lineRule="auto"/>
        <w:contextualSpacing/>
      </w:pPr>
      <w:proofErr w:type="gramStart"/>
      <w:r>
        <w:t>MILARÉ,ÉDIS</w:t>
      </w:r>
      <w:proofErr w:type="gramEnd"/>
      <w:r>
        <w:t xml:space="preserve">. </w:t>
      </w:r>
      <w:r>
        <w:rPr>
          <w:b/>
        </w:rPr>
        <w:t>Direito d</w:t>
      </w:r>
      <w:r w:rsidRPr="000C2484">
        <w:rPr>
          <w:b/>
        </w:rPr>
        <w:t>o Ambiente</w:t>
      </w:r>
      <w:r>
        <w:t>. São Paulo: Revista dos Tribunais, 2001.</w:t>
      </w:r>
    </w:p>
    <w:p w:rsidR="000C2484" w:rsidRDefault="000C2484" w:rsidP="00CD29D9">
      <w:pPr>
        <w:autoSpaceDE w:val="0"/>
        <w:autoSpaceDN w:val="0"/>
        <w:spacing w:line="240" w:lineRule="auto"/>
        <w:contextualSpacing/>
      </w:pPr>
      <w:r>
        <w:t xml:space="preserve">MORAES, Alexandre de. </w:t>
      </w:r>
      <w:r>
        <w:rPr>
          <w:b/>
          <w:bCs/>
        </w:rPr>
        <w:t xml:space="preserve">Direito Constitucional. </w:t>
      </w:r>
      <w:r>
        <w:t xml:space="preserve"> São Paulo: Ed. Atlas, 2011.</w:t>
      </w:r>
    </w:p>
    <w:p w:rsidR="001D2083" w:rsidRDefault="000C2484" w:rsidP="00CD29D9">
      <w:pPr>
        <w:overflowPunct w:val="0"/>
        <w:autoSpaceDE w:val="0"/>
        <w:autoSpaceDN w:val="0"/>
        <w:spacing w:line="240" w:lineRule="auto"/>
        <w:contextualSpacing/>
        <w:rPr>
          <w:rFonts w:cs="Arial"/>
          <w:szCs w:val="24"/>
        </w:rPr>
      </w:pPr>
      <w:r>
        <w:t xml:space="preserve">TAUK - TORNISIELO -SÂMIA MARIA, FOWLER, HAROLD GORDON (ORG.) </w:t>
      </w:r>
      <w:r w:rsidRPr="000C2484">
        <w:rPr>
          <w:b/>
        </w:rPr>
        <w:t>Análise Ambiental: uma visão multidisciplinar</w:t>
      </w:r>
      <w:r>
        <w:t>. São Paulo. UNESP, 1995.</w:t>
      </w:r>
    </w:p>
    <w:sectPr w:rsidR="001D2083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51" w:rsidRDefault="00D22151">
      <w:r>
        <w:separator/>
      </w:r>
    </w:p>
  </w:endnote>
  <w:endnote w:type="continuationSeparator" w:id="0">
    <w:p w:rsidR="00D22151" w:rsidRDefault="00D2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51" w:rsidRDefault="00D22151">
      <w:r>
        <w:separator/>
      </w:r>
    </w:p>
  </w:footnote>
  <w:footnote w:type="continuationSeparator" w:id="0">
    <w:p w:rsidR="00D22151" w:rsidRDefault="00D2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Pró-Reitoria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07"/>
    <w:multiLevelType w:val="hybridMultilevel"/>
    <w:tmpl w:val="00000784"/>
    <w:lvl w:ilvl="0" w:tplc="00002B0F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F16"/>
    <w:multiLevelType w:val="hybridMultilevel"/>
    <w:tmpl w:val="0000182F"/>
    <w:lvl w:ilvl="0" w:tplc="00004D6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5968"/>
    <w:multiLevelType w:val="hybridMultilevel"/>
    <w:tmpl w:val="00004AD4"/>
    <w:lvl w:ilvl="0" w:tplc="00002CF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6FA"/>
    <w:multiLevelType w:val="hybridMultilevel"/>
    <w:tmpl w:val="00001316"/>
    <w:lvl w:ilvl="0" w:tplc="000049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3B868CD"/>
    <w:multiLevelType w:val="multilevel"/>
    <w:tmpl w:val="B6B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92" w:hanging="1800"/>
      </w:pPr>
      <w:rPr>
        <w:rFonts w:hint="default"/>
      </w:rPr>
    </w:lvl>
  </w:abstractNum>
  <w:abstractNum w:abstractNumId="5">
    <w:nsid w:val="146A5144"/>
    <w:multiLevelType w:val="multilevel"/>
    <w:tmpl w:val="E06E5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7">
    <w:nsid w:val="1DCB2B15"/>
    <w:multiLevelType w:val="multilevel"/>
    <w:tmpl w:val="F5E05C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9D436B5"/>
    <w:multiLevelType w:val="multilevel"/>
    <w:tmpl w:val="0DC8FC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77813CB"/>
    <w:multiLevelType w:val="multilevel"/>
    <w:tmpl w:val="88C0CA9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1156402"/>
    <w:multiLevelType w:val="multilevel"/>
    <w:tmpl w:val="E29E7EE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60695AF8"/>
    <w:multiLevelType w:val="multilevel"/>
    <w:tmpl w:val="255214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>
    <w:nsid w:val="721026C5"/>
    <w:multiLevelType w:val="multilevel"/>
    <w:tmpl w:val="3A88EBD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eastAsia="Calibri" w:hint="default"/>
        <w:b/>
      </w:rPr>
    </w:lvl>
  </w:abstractNum>
  <w:abstractNum w:abstractNumId="14">
    <w:nsid w:val="75161872"/>
    <w:multiLevelType w:val="multilevel"/>
    <w:tmpl w:val="F134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56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3"/>
  </w:num>
  <w:num w:numId="14">
    <w:abstractNumId w:val="10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1D24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A7855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484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000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49DA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083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16F2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65CA"/>
    <w:rsid w:val="00297EBF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774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875BF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5946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139F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6BF1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C9D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6CD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4A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37AD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7AF"/>
    <w:rsid w:val="00613A71"/>
    <w:rsid w:val="00615C7F"/>
    <w:rsid w:val="006161C4"/>
    <w:rsid w:val="00616D73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3B3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02D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2E6"/>
    <w:rsid w:val="006638E8"/>
    <w:rsid w:val="006645BC"/>
    <w:rsid w:val="00664D07"/>
    <w:rsid w:val="006659A9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52B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5E9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366B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9C8"/>
    <w:rsid w:val="00910BC0"/>
    <w:rsid w:val="00911245"/>
    <w:rsid w:val="009128D0"/>
    <w:rsid w:val="00912AB1"/>
    <w:rsid w:val="0091657E"/>
    <w:rsid w:val="00916719"/>
    <w:rsid w:val="0092188C"/>
    <w:rsid w:val="00924BD0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072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E5D"/>
    <w:rsid w:val="00AF5F1F"/>
    <w:rsid w:val="00AF7658"/>
    <w:rsid w:val="00AF7BCE"/>
    <w:rsid w:val="00B01850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01C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3734"/>
    <w:rsid w:val="00B73FD1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2129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1CB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403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776C4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95B90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9D9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2151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28C3"/>
    <w:rsid w:val="00D53F82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2C9"/>
    <w:rsid w:val="00DB6857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C8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92F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7AE4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A54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441E"/>
    <w:rsid w:val="00F65651"/>
    <w:rsid w:val="00F66430"/>
    <w:rsid w:val="00F666D7"/>
    <w:rsid w:val="00F66A57"/>
    <w:rsid w:val="00F679EA"/>
    <w:rsid w:val="00F702C0"/>
    <w:rsid w:val="00F7050C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678B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5A53E9-4008-445B-8CEC-095D5A8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  <w:style w:type="table" w:customStyle="1" w:styleId="TableNormal">
    <w:name w:val="Table Normal"/>
    <w:rsid w:val="005466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319E-DC16-4882-AA74-92B5366A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9</cp:revision>
  <cp:lastPrinted>2015-12-14T13:28:00Z</cp:lastPrinted>
  <dcterms:created xsi:type="dcterms:W3CDTF">2017-07-31T20:27:00Z</dcterms:created>
  <dcterms:modified xsi:type="dcterms:W3CDTF">2022-10-20T20:00:00Z</dcterms:modified>
</cp:coreProperties>
</file>