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C4" w:rsidRDefault="00773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2"/>
          <w:szCs w:val="22"/>
        </w:rPr>
      </w:pP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301"/>
      </w:tblGrid>
      <w:tr w:rsidR="00773FC4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C4" w:rsidRDefault="004F6E8C">
            <w:pPr>
              <w:ind w:left="0" w:hanging="2"/>
              <w:jc w:val="center"/>
            </w:pPr>
            <w:r>
              <w:rPr>
                <w:b/>
              </w:rPr>
              <w:t>DISCIPLINA:</w:t>
            </w:r>
            <w:r>
              <w:t xml:space="preserve"> Extensão I</w:t>
            </w:r>
          </w:p>
        </w:tc>
      </w:tr>
      <w:tr w:rsidR="00773FC4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C4" w:rsidRDefault="004F6E8C">
            <w:pPr>
              <w:ind w:left="0" w:hanging="2"/>
            </w:pPr>
            <w:r>
              <w:rPr>
                <w:b/>
              </w:rPr>
              <w:t xml:space="preserve">Vigência: </w:t>
            </w:r>
            <w:r>
              <w:t>a partir de 2023/1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C4" w:rsidRDefault="004F6E8C">
            <w:pPr>
              <w:ind w:left="0" w:hanging="2"/>
            </w:pPr>
            <w:r>
              <w:rPr>
                <w:b/>
              </w:rPr>
              <w:t>Período letivo:</w:t>
            </w:r>
            <w:r>
              <w:t xml:space="preserve"> 2º</w:t>
            </w:r>
          </w:p>
        </w:tc>
      </w:tr>
      <w:tr w:rsidR="00773FC4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C4" w:rsidRDefault="004F6E8C">
            <w:pPr>
              <w:ind w:left="0" w:hanging="2"/>
            </w:pPr>
            <w:r>
              <w:rPr>
                <w:b/>
              </w:rPr>
              <w:t xml:space="preserve">Carga horária total: </w:t>
            </w:r>
            <w:r>
              <w:t>75h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C4" w:rsidRDefault="004F6E8C">
            <w:pPr>
              <w:ind w:left="0" w:hanging="2"/>
            </w:pPr>
            <w:r>
              <w:rPr>
                <w:b/>
              </w:rPr>
              <w:t xml:space="preserve">Código: </w:t>
            </w:r>
          </w:p>
        </w:tc>
      </w:tr>
      <w:tr w:rsidR="00773FC4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C4" w:rsidRDefault="004F6E8C">
            <w:pPr>
              <w:ind w:left="0" w:hanging="2"/>
            </w:pPr>
            <w:r>
              <w:rPr>
                <w:b/>
              </w:rPr>
              <w:t xml:space="preserve">CH Extensão: </w:t>
            </w:r>
            <w:r>
              <w:t>75h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C4" w:rsidRDefault="004F6E8C">
            <w:pPr>
              <w:ind w:left="0" w:hanging="2"/>
            </w:pPr>
            <w:r>
              <w:rPr>
                <w:b/>
              </w:rPr>
              <w:t xml:space="preserve">CH Pesquisa: </w:t>
            </w:r>
            <w:r w:rsidR="008462C4">
              <w:rPr>
                <w:b/>
              </w:rPr>
              <w:t>-</w:t>
            </w:r>
            <w:bookmarkStart w:id="0" w:name="_GoBack"/>
            <w:bookmarkEnd w:id="0"/>
          </w:p>
        </w:tc>
      </w:tr>
      <w:tr w:rsidR="00773FC4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C4" w:rsidRDefault="004F6E8C">
            <w:pPr>
              <w:ind w:left="0" w:hanging="2"/>
            </w:pPr>
            <w:r>
              <w:rPr>
                <w:b/>
              </w:rPr>
              <w:t>CH Prática:</w:t>
            </w:r>
            <w:r>
              <w:t xml:space="preserve"> 20h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C4" w:rsidRDefault="004F6E8C">
            <w:pPr>
              <w:ind w:left="0" w:hanging="2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EaD</w:t>
            </w:r>
            <w:proofErr w:type="spellEnd"/>
            <w:r>
              <w:rPr>
                <w:b/>
              </w:rPr>
              <w:t>:</w:t>
            </w:r>
            <w:r>
              <w:t xml:space="preserve"> -</w:t>
            </w:r>
          </w:p>
        </w:tc>
      </w:tr>
      <w:tr w:rsidR="00773FC4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C4" w:rsidRDefault="004F6E8C" w:rsidP="008E5A7F">
            <w:pPr>
              <w:ind w:left="0" w:hanging="2"/>
            </w:pPr>
            <w:r>
              <w:rPr>
                <w:b/>
              </w:rPr>
              <w:t xml:space="preserve">Ementa: </w:t>
            </w:r>
            <w:r>
              <w:t>Fundamentos e princípios da extensão. Análise das repercussões da extensão. Reflexão sobre as interações entre extensão, movimentos sociais, políticas públicas e responsabilidade social. Exame dos arranjos produtivos locais. Investigação das demandas sociais. Construção dialógica de projeto. Ava</w:t>
            </w:r>
            <w:r w:rsidR="008E5A7F">
              <w:t>liação da proposta de extensão.</w:t>
            </w:r>
          </w:p>
        </w:tc>
      </w:tr>
    </w:tbl>
    <w:p w:rsidR="00773FC4" w:rsidRDefault="004F6E8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Conteúdos</w:t>
      </w:r>
    </w:p>
    <w:p w:rsidR="00773FC4" w:rsidRDefault="004F6E8C">
      <w:pPr>
        <w:spacing w:after="120"/>
        <w:ind w:left="0" w:right="-232" w:hanging="2"/>
        <w:rPr>
          <w:rFonts w:ascii="Times New Roman" w:eastAsia="Times New Roman" w:hAnsi="Times New Roman" w:cs="Times New Roman"/>
        </w:rPr>
      </w:pPr>
      <w:r>
        <w:rPr>
          <w:b/>
        </w:rPr>
        <w:t xml:space="preserve">UNIDADE I - Fundamentos históricos e legais da </w:t>
      </w:r>
      <w:proofErr w:type="spellStart"/>
      <w:r>
        <w:rPr>
          <w:b/>
        </w:rPr>
        <w:t>curricularização</w:t>
      </w:r>
      <w:proofErr w:type="spellEnd"/>
      <w:r>
        <w:rPr>
          <w:b/>
        </w:rPr>
        <w:t xml:space="preserve"> da extensão</w:t>
      </w:r>
    </w:p>
    <w:p w:rsidR="00773FC4" w:rsidRDefault="004F6E8C">
      <w:pPr>
        <w:spacing w:after="120"/>
        <w:ind w:left="0" w:right="-232" w:hanging="2"/>
        <w:rPr>
          <w:rFonts w:ascii="Times New Roman" w:eastAsia="Times New Roman" w:hAnsi="Times New Roman" w:cs="Times New Roman"/>
        </w:rPr>
      </w:pPr>
      <w:r>
        <w:t>1.1 Aspectos históricos da extensão universitária</w:t>
      </w:r>
    </w:p>
    <w:p w:rsidR="00773FC4" w:rsidRDefault="004F6E8C">
      <w:pPr>
        <w:spacing w:after="120"/>
        <w:ind w:left="0" w:right="-232" w:hanging="2"/>
        <w:rPr>
          <w:rFonts w:ascii="Times New Roman" w:eastAsia="Times New Roman" w:hAnsi="Times New Roman" w:cs="Times New Roman"/>
        </w:rPr>
      </w:pPr>
      <w:r>
        <w:t xml:space="preserve">1.2 </w:t>
      </w:r>
      <w:proofErr w:type="spellStart"/>
      <w:r>
        <w:t>IF´s</w:t>
      </w:r>
      <w:proofErr w:type="spellEnd"/>
      <w:r>
        <w:t xml:space="preserve"> e a </w:t>
      </w:r>
      <w:proofErr w:type="spellStart"/>
      <w:r>
        <w:t>indissociabilidade</w:t>
      </w:r>
      <w:proofErr w:type="spellEnd"/>
      <w:r>
        <w:t xml:space="preserve"> ensino, pesquisa e extensão</w:t>
      </w:r>
    </w:p>
    <w:p w:rsidR="00773FC4" w:rsidRDefault="004F6E8C">
      <w:pPr>
        <w:spacing w:after="120"/>
        <w:ind w:left="0" w:right="-232" w:hanging="2"/>
        <w:rPr>
          <w:rFonts w:ascii="Times New Roman" w:eastAsia="Times New Roman" w:hAnsi="Times New Roman" w:cs="Times New Roman"/>
        </w:rPr>
      </w:pPr>
      <w:r>
        <w:t>1.3 Política nacional de extensão universitária</w:t>
      </w:r>
    </w:p>
    <w:p w:rsidR="00773FC4" w:rsidRDefault="004F6E8C">
      <w:pPr>
        <w:spacing w:after="120"/>
        <w:ind w:left="0" w:right="-232" w:hanging="2"/>
      </w:pPr>
      <w:r>
        <w:t xml:space="preserve">1.4 Concepções, princípios e diretrizes da </w:t>
      </w:r>
      <w:proofErr w:type="spellStart"/>
      <w:r>
        <w:t>curricularização</w:t>
      </w:r>
      <w:proofErr w:type="spellEnd"/>
      <w:r>
        <w:t xml:space="preserve"> da extensão universitária</w:t>
      </w:r>
    </w:p>
    <w:p w:rsidR="00773FC4" w:rsidRDefault="004F6E8C">
      <w:pPr>
        <w:spacing w:after="120"/>
        <w:ind w:left="0" w:right="-232" w:hanging="2"/>
      </w:pPr>
      <w:r>
        <w:t xml:space="preserve">1.5 A extensão no </w:t>
      </w:r>
      <w:proofErr w:type="spellStart"/>
      <w:r>
        <w:t>IFSul</w:t>
      </w:r>
      <w:proofErr w:type="spellEnd"/>
      <w:r>
        <w:t xml:space="preserve"> (registro, fluxo, editais, relatórios, eventos)</w:t>
      </w:r>
    </w:p>
    <w:p w:rsidR="00773FC4" w:rsidRDefault="00773FC4">
      <w:pPr>
        <w:spacing w:after="120" w:line="240" w:lineRule="auto"/>
        <w:ind w:left="0" w:right="-232" w:hanging="2"/>
        <w:rPr>
          <w:b/>
        </w:rPr>
      </w:pP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UNIDADE II - Sociedade, extensão e transformação social</w:t>
      </w: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t>2</w:t>
      </w:r>
      <w:r>
        <w:rPr>
          <w:color w:val="000000"/>
        </w:rPr>
        <w:t>.1 Responsabilidade social na extensão</w:t>
      </w: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t>2</w:t>
      </w:r>
      <w:r>
        <w:rPr>
          <w:color w:val="000000"/>
        </w:rPr>
        <w:t>.2 Contribuições da extensão para o fortalecimento das políticas públicas</w:t>
      </w: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t>2</w:t>
      </w:r>
      <w:r>
        <w:rPr>
          <w:color w:val="000000"/>
        </w:rPr>
        <w:t>.3 Extensão e movimentos sociais</w:t>
      </w: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t>2</w:t>
      </w:r>
      <w:r>
        <w:rPr>
          <w:color w:val="000000"/>
        </w:rPr>
        <w:t>.4 Articulações com os setores produtivos e o desenvolvimento regional (arranjos produtivos locais)</w:t>
      </w:r>
    </w:p>
    <w:p w:rsidR="00773FC4" w:rsidRDefault="00773FC4">
      <w:pPr>
        <w:spacing w:line="240" w:lineRule="auto"/>
        <w:ind w:left="0" w:hanging="2"/>
        <w:jc w:val="left"/>
        <w:rPr>
          <w:rFonts w:ascii="Times New Roman" w:eastAsia="Times New Roman" w:hAnsi="Times New Roman" w:cs="Times New Roman"/>
        </w:rPr>
      </w:pP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 xml:space="preserve">UNIDADE III – Demandas sociais e a </w:t>
      </w:r>
      <w:proofErr w:type="spellStart"/>
      <w:r>
        <w:rPr>
          <w:b/>
          <w:color w:val="000000"/>
        </w:rPr>
        <w:t>curricularização</w:t>
      </w:r>
      <w:proofErr w:type="spellEnd"/>
      <w:r>
        <w:rPr>
          <w:b/>
          <w:color w:val="000000"/>
        </w:rPr>
        <w:t xml:space="preserve"> da extensão</w:t>
      </w: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t>3</w:t>
      </w:r>
      <w:r>
        <w:rPr>
          <w:color w:val="000000"/>
        </w:rPr>
        <w:t>.</w:t>
      </w:r>
      <w:r>
        <w:t>1</w:t>
      </w:r>
      <w:r>
        <w:rPr>
          <w:color w:val="000000"/>
        </w:rPr>
        <w:t xml:space="preserve"> Identificação e prospecção das demandas sociais</w:t>
      </w: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t>3</w:t>
      </w:r>
      <w:r>
        <w:rPr>
          <w:color w:val="000000"/>
        </w:rPr>
        <w:t>.</w:t>
      </w:r>
      <w:r>
        <w:t>2</w:t>
      </w:r>
      <w:r>
        <w:rPr>
          <w:color w:val="000000"/>
        </w:rPr>
        <w:t xml:space="preserve"> Ética,</w:t>
      </w:r>
      <w:r>
        <w:t xml:space="preserve"> p</w:t>
      </w:r>
      <w:r>
        <w:rPr>
          <w:color w:val="000000"/>
        </w:rPr>
        <w:t>esquisa de campo e diagnóstico participativo</w:t>
      </w:r>
    </w:p>
    <w:p w:rsidR="00773FC4" w:rsidRDefault="004F6E8C">
      <w:pPr>
        <w:spacing w:after="120" w:line="240" w:lineRule="auto"/>
        <w:ind w:left="0" w:right="-232" w:hanging="2"/>
      </w:pPr>
      <w:r>
        <w:t>3</w:t>
      </w:r>
      <w:r>
        <w:rPr>
          <w:color w:val="000000"/>
        </w:rPr>
        <w:t>.</w:t>
      </w:r>
      <w:r>
        <w:t>3</w:t>
      </w:r>
      <w:r>
        <w:rPr>
          <w:color w:val="000000"/>
        </w:rPr>
        <w:t xml:space="preserve"> Laboratório de trocas de saberes e observação participa</w:t>
      </w:r>
      <w:r>
        <w:t>nte</w:t>
      </w:r>
    </w:p>
    <w:p w:rsidR="00773FC4" w:rsidRDefault="004F6E8C">
      <w:pPr>
        <w:spacing w:after="120" w:line="240" w:lineRule="auto"/>
        <w:ind w:left="0" w:right="-232" w:hanging="2"/>
      </w:pPr>
      <w:r>
        <w:t>3.4 Diário de campo</w:t>
      </w:r>
    </w:p>
    <w:p w:rsidR="00773FC4" w:rsidRDefault="004F6E8C">
      <w:pPr>
        <w:spacing w:after="120" w:line="240" w:lineRule="auto"/>
        <w:ind w:left="0" w:right="-232" w:hanging="2"/>
      </w:pPr>
      <w:r>
        <w:t>3.5 Elaboração de projeto de extensão</w:t>
      </w:r>
    </w:p>
    <w:p w:rsidR="00773FC4" w:rsidRDefault="00773FC4">
      <w:pPr>
        <w:spacing w:after="120" w:line="240" w:lineRule="auto"/>
        <w:ind w:left="0" w:right="-232" w:hanging="2"/>
      </w:pP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 xml:space="preserve">UNIDADE </w:t>
      </w:r>
      <w:r>
        <w:rPr>
          <w:b/>
        </w:rPr>
        <w:t>IV</w:t>
      </w:r>
      <w:r>
        <w:rPr>
          <w:b/>
          <w:color w:val="000000"/>
        </w:rPr>
        <w:t xml:space="preserve"> - </w:t>
      </w:r>
      <w:r>
        <w:rPr>
          <w:b/>
        </w:rPr>
        <w:t>Análise, a</w:t>
      </w:r>
      <w:r>
        <w:rPr>
          <w:b/>
          <w:color w:val="000000"/>
        </w:rPr>
        <w:t xml:space="preserve">valiação </w:t>
      </w:r>
      <w:r>
        <w:rPr>
          <w:b/>
        </w:rPr>
        <w:t>e registro</w:t>
      </w: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t>5</w:t>
      </w:r>
      <w:r>
        <w:rPr>
          <w:color w:val="000000"/>
        </w:rPr>
        <w:t>.1 Instrumentos de avaliação</w:t>
      </w: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lastRenderedPageBreak/>
        <w:t>5</w:t>
      </w:r>
      <w:r>
        <w:rPr>
          <w:color w:val="000000"/>
        </w:rPr>
        <w:t>.2 Construção de indicadores</w:t>
      </w:r>
    </w:p>
    <w:p w:rsidR="00773FC4" w:rsidRDefault="004F6E8C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t>5</w:t>
      </w:r>
      <w:r>
        <w:rPr>
          <w:color w:val="000000"/>
        </w:rPr>
        <w:t>.3 Registro, elaboração e apresentação de relatório</w:t>
      </w:r>
    </w:p>
    <w:p w:rsidR="00773FC4" w:rsidRDefault="00773F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b/>
        </w:rPr>
      </w:pPr>
    </w:p>
    <w:p w:rsidR="00773FC4" w:rsidRDefault="004F6E8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Bibliografia básica</w:t>
      </w:r>
    </w:p>
    <w:p w:rsidR="00773FC4" w:rsidRDefault="004F6E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DIAS, Reinaldo. </w:t>
      </w:r>
      <w:r>
        <w:rPr>
          <w:b/>
        </w:rPr>
        <w:t>Gestão ambiental: responsabilidade social e sustentabilidade</w:t>
      </w:r>
      <w:r>
        <w:t>. São Paulo: Atlas, 2017.</w:t>
      </w:r>
    </w:p>
    <w:p w:rsidR="00773FC4" w:rsidRDefault="00773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773FC4" w:rsidRDefault="004F6E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  <w:r>
        <w:rPr>
          <w:highlight w:val="white"/>
        </w:rPr>
        <w:t xml:space="preserve">FREIRE, Paulo. </w:t>
      </w:r>
      <w:r>
        <w:rPr>
          <w:b/>
          <w:highlight w:val="white"/>
        </w:rPr>
        <w:t>Pedagogia da Autonomia:</w:t>
      </w:r>
      <w:r>
        <w:rPr>
          <w:highlight w:val="white"/>
        </w:rPr>
        <w:t xml:space="preserve"> saberes necessários à prática educativa. São Paulo: Paz e Terra, 1999.</w:t>
      </w:r>
    </w:p>
    <w:p w:rsidR="00773FC4" w:rsidRDefault="00773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</w:p>
    <w:p w:rsidR="00773FC4" w:rsidRDefault="004F6E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  <w:r>
        <w:rPr>
          <w:highlight w:val="white"/>
        </w:rPr>
        <w:t xml:space="preserve">GIL, </w:t>
      </w:r>
      <w:proofErr w:type="spellStart"/>
      <w:r>
        <w:rPr>
          <w:highlight w:val="white"/>
        </w:rPr>
        <w:t>Antonio</w:t>
      </w:r>
      <w:proofErr w:type="spellEnd"/>
      <w:r>
        <w:rPr>
          <w:highlight w:val="white"/>
        </w:rPr>
        <w:t xml:space="preserve"> Carlos. </w:t>
      </w:r>
      <w:r>
        <w:rPr>
          <w:b/>
          <w:highlight w:val="white"/>
        </w:rPr>
        <w:t>Como elaborar projetos de pesquisa</w:t>
      </w:r>
      <w:r>
        <w:rPr>
          <w:highlight w:val="white"/>
        </w:rPr>
        <w:t>. 5. ed. São Paulo, SP: Atlas, 2010.</w:t>
      </w:r>
    </w:p>
    <w:p w:rsidR="00773FC4" w:rsidRDefault="00773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</w:p>
    <w:p w:rsidR="00773FC4" w:rsidRDefault="004F6E8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Bibliografia complementar</w:t>
      </w:r>
    </w:p>
    <w:p w:rsidR="00773FC4" w:rsidRDefault="004F6E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BRASIL. Resolução nº 7, de 18 de dezembro de 2018: estabelece as diretrizes procedimentais para a extensão na educação superior brasileira. Disponível em </w:t>
      </w:r>
      <w:hyperlink r:id="rId7">
        <w:r>
          <w:rPr>
            <w:color w:val="1155CC"/>
            <w:u w:val="single"/>
          </w:rPr>
          <w:t>http://portal.mec.gov.br/index.php?option=com_docman&amp;view=download&amp;alias=104251-rces007-18&amp;category_slug=dezembro-2018-pdf&amp;Itemid=30192</w:t>
        </w:r>
      </w:hyperlink>
      <w:r>
        <w:t xml:space="preserve"> </w:t>
      </w:r>
    </w:p>
    <w:p w:rsidR="00773FC4" w:rsidRDefault="00773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773FC4" w:rsidRDefault="004F6E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CEZAR, Raul Matias. </w:t>
      </w:r>
      <w:r>
        <w:rPr>
          <w:b/>
        </w:rPr>
        <w:t>Extensão rural: conceitos e expressão social</w:t>
      </w:r>
      <w:r>
        <w:t xml:space="preserve">. Curitiba: </w:t>
      </w:r>
      <w:proofErr w:type="spellStart"/>
      <w:r>
        <w:t>Contentus</w:t>
      </w:r>
      <w:proofErr w:type="spellEnd"/>
      <w:r>
        <w:t>, 2020. (</w:t>
      </w:r>
      <w:proofErr w:type="gramStart"/>
      <w:r>
        <w:t>virtual</w:t>
      </w:r>
      <w:proofErr w:type="gramEnd"/>
      <w:r>
        <w:t>)</w:t>
      </w:r>
    </w:p>
    <w:p w:rsidR="00773FC4" w:rsidRDefault="00773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773FC4" w:rsidRDefault="004F6E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FREITAS, Fátima e Silva de. </w:t>
      </w:r>
      <w:r>
        <w:rPr>
          <w:b/>
        </w:rPr>
        <w:t>A Diversidade Cultural como Prática na Educação</w:t>
      </w:r>
      <w:r>
        <w:t xml:space="preserve">. Curitiba: Editora </w:t>
      </w:r>
      <w:proofErr w:type="spellStart"/>
      <w:r>
        <w:t>Intersaberes</w:t>
      </w:r>
      <w:proofErr w:type="spellEnd"/>
      <w:r>
        <w:t>, 2012. (</w:t>
      </w:r>
      <w:proofErr w:type="gramStart"/>
      <w:r>
        <w:t>virtual</w:t>
      </w:r>
      <w:proofErr w:type="gramEnd"/>
      <w:r>
        <w:t>)</w:t>
      </w:r>
    </w:p>
    <w:p w:rsidR="00773FC4" w:rsidRDefault="00773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773FC4" w:rsidRDefault="004F6E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MELLO, </w:t>
      </w:r>
      <w:proofErr w:type="spellStart"/>
      <w:r>
        <w:t>Cleyson</w:t>
      </w:r>
      <w:proofErr w:type="spellEnd"/>
      <w:r>
        <w:t xml:space="preserve"> de Moraes; NETO, José Rogério Moura de Almeida. </w:t>
      </w:r>
      <w:proofErr w:type="spellStart"/>
      <w:r>
        <w:rPr>
          <w:b/>
        </w:rPr>
        <w:t>Curricularização</w:t>
      </w:r>
      <w:proofErr w:type="spellEnd"/>
      <w:r>
        <w:rPr>
          <w:b/>
        </w:rPr>
        <w:t xml:space="preserve"> da Extensão Universitária</w:t>
      </w:r>
      <w:r>
        <w:t>. Rio de Janeiro: Editora Freitas Bastos, 2020. (</w:t>
      </w:r>
      <w:proofErr w:type="gramStart"/>
      <w:r>
        <w:t>virtual</w:t>
      </w:r>
      <w:proofErr w:type="gramEnd"/>
      <w:r>
        <w:t>)</w:t>
      </w:r>
    </w:p>
    <w:p w:rsidR="00773FC4" w:rsidRDefault="00773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773FC4" w:rsidRDefault="004F6E8C">
      <w:pPr>
        <w:ind w:left="0" w:hanging="2"/>
      </w:pPr>
      <w:r>
        <w:rPr>
          <w:highlight w:val="white"/>
        </w:rPr>
        <w:t xml:space="preserve">SILVA, Jung </w:t>
      </w:r>
      <w:proofErr w:type="spellStart"/>
      <w:r>
        <w:rPr>
          <w:highlight w:val="white"/>
        </w:rPr>
        <w:t>Mo</w:t>
      </w:r>
      <w:proofErr w:type="spellEnd"/>
      <w:r>
        <w:rPr>
          <w:highlight w:val="white"/>
        </w:rPr>
        <w:t xml:space="preserve">; SILVA. </w:t>
      </w:r>
      <w:r>
        <w:rPr>
          <w:b/>
          <w:highlight w:val="white"/>
        </w:rPr>
        <w:t>Conversando sobre ética e sociedade</w:t>
      </w:r>
      <w:r>
        <w:rPr>
          <w:highlight w:val="white"/>
        </w:rPr>
        <w:t>. Petrópolis, RJ: Vozes, 2011.</w:t>
      </w:r>
    </w:p>
    <w:p w:rsidR="00773FC4" w:rsidRDefault="00773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</w:p>
    <w:p w:rsidR="00773FC4" w:rsidRDefault="00773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</w:p>
    <w:sectPr w:rsidR="00773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9F" w:rsidRDefault="002B2F9F">
      <w:pPr>
        <w:spacing w:line="240" w:lineRule="auto"/>
        <w:ind w:left="0" w:hanging="2"/>
      </w:pPr>
      <w:r>
        <w:separator/>
      </w:r>
    </w:p>
  </w:endnote>
  <w:endnote w:type="continuationSeparator" w:id="0">
    <w:p w:rsidR="002B2F9F" w:rsidRDefault="002B2F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C4" w:rsidRDefault="00773F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C4" w:rsidRDefault="00773F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C4" w:rsidRDefault="00773F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9F" w:rsidRDefault="002B2F9F">
      <w:pPr>
        <w:spacing w:line="240" w:lineRule="auto"/>
        <w:ind w:left="0" w:hanging="2"/>
      </w:pPr>
      <w:r>
        <w:separator/>
      </w:r>
    </w:p>
  </w:footnote>
  <w:footnote w:type="continuationSeparator" w:id="0">
    <w:p w:rsidR="002B2F9F" w:rsidRDefault="002B2F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C4" w:rsidRDefault="00773F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C4" w:rsidRDefault="004F6E8C">
    <w:pPr>
      <w:ind w:left="0" w:hanging="2"/>
      <w:jc w:val="center"/>
    </w:pPr>
    <w:r>
      <w:rPr>
        <w:noProof/>
      </w:rPr>
      <w:drawing>
        <wp:inline distT="0" distB="0" distL="114300" distR="114300">
          <wp:extent cx="427355" cy="46101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3FC4" w:rsidRDefault="00773FC4">
    <w:pPr>
      <w:jc w:val="center"/>
      <w:rPr>
        <w:sz w:val="6"/>
        <w:szCs w:val="6"/>
      </w:rPr>
    </w:pPr>
  </w:p>
  <w:p w:rsidR="00773FC4" w:rsidRDefault="004F6E8C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:rsidR="00773FC4" w:rsidRDefault="004F6E8C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Sul-rio-grandense</w:t>
    </w:r>
  </w:p>
  <w:p w:rsidR="00773FC4" w:rsidRDefault="004F6E8C">
    <w:pPr>
      <w:ind w:left="0" w:hanging="2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Ensino</w:t>
    </w:r>
  </w:p>
  <w:p w:rsidR="00773FC4" w:rsidRDefault="00773FC4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C4" w:rsidRDefault="00773F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C4"/>
    <w:rsid w:val="002B2F9F"/>
    <w:rsid w:val="004F6E8C"/>
    <w:rsid w:val="005951E9"/>
    <w:rsid w:val="00773FC4"/>
    <w:rsid w:val="008462C4"/>
    <w:rsid w:val="008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5EB61-45D8-430C-942D-CFF5E095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Nivel1Conteudo">
    <w:name w:val="Título 1;Nivel 1 Conteudo"/>
    <w:basedOn w:val="Normal"/>
    <w:next w:val="Normal"/>
    <w:pPr>
      <w:keepNext/>
      <w:ind w:left="1560" w:hanging="426"/>
    </w:pPr>
    <w:rPr>
      <w:bCs/>
      <w:kern w:val="32"/>
      <w:szCs w:val="3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Corpodetexto">
    <w:name w:val="Body Text"/>
    <w:basedOn w:val="Normal"/>
    <w:rPr>
      <w:rFonts w:ascii="Times New Roman" w:hAnsi="Times New Roman"/>
    </w:rPr>
  </w:style>
  <w:style w:type="table" w:customStyle="1" w:styleId="Tabelacomgrade1">
    <w:name w:val="Tabela com grade1"/>
    <w:basedOn w:val="Tabelanormal"/>
    <w:pPr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Nivel0Contedo">
    <w:name w:val="Título;Nivel 0 Conteúdo"/>
    <w:basedOn w:val="Normal"/>
    <w:next w:val="Normal"/>
    <w:pPr>
      <w:spacing w:before="240" w:after="60"/>
    </w:pPr>
    <w:rPr>
      <w:bCs/>
      <w:kern w:val="28"/>
      <w:szCs w:val="32"/>
    </w:rPr>
  </w:style>
  <w:style w:type="character" w:customStyle="1" w:styleId="TtuloCharNivel0ContedoChar">
    <w:name w:val="Título Char;Nivel 0 Conteúdo Char"/>
    <w:rPr>
      <w:rFonts w:ascii="Arial" w:eastAsia="Times New Roman" w:hAnsi="Arial" w:cs="Times New Roman"/>
      <w:bCs/>
      <w:w w:val="100"/>
      <w:kern w:val="28"/>
      <w:position w:val="-1"/>
      <w:sz w:val="24"/>
      <w:szCs w:val="32"/>
      <w:effect w:val="none"/>
      <w:vertAlign w:val="baseline"/>
      <w:cs w:val="0"/>
      <w:em w:val="none"/>
    </w:rPr>
  </w:style>
  <w:style w:type="character" w:customStyle="1" w:styleId="Ttulo1CharNivel1ConteudoChar">
    <w:name w:val="Título 1 Char;Nivel 1 Conteudo Char"/>
    <w:rPr>
      <w:rFonts w:ascii="Arial" w:eastAsia="Times New Roman" w:hAnsi="Arial" w:cs="Times New Roman"/>
      <w:bCs/>
      <w:w w:val="100"/>
      <w:kern w:val="32"/>
      <w:position w:val="-1"/>
      <w:sz w:val="24"/>
      <w:szCs w:val="32"/>
      <w:effect w:val="none"/>
      <w:vertAlign w:val="baseline"/>
      <w:cs w:val="0"/>
      <w:em w:val="none"/>
    </w:rPr>
  </w:style>
  <w:style w:type="paragraph" w:customStyle="1" w:styleId="Nivel2Contedo">
    <w:name w:val="Nivel 2 Conteúdo"/>
    <w:basedOn w:val="Ttulo1Nivel1Conteudo"/>
    <w:next w:val="Normal"/>
    <w:pPr>
      <w:ind w:left="2127" w:hanging="567"/>
    </w:pPr>
    <w:rPr>
      <w:szCs w:val="24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</w:rPr>
  </w:style>
  <w:style w:type="character" w:customStyle="1" w:styleId="TextodecomentrioChar">
    <w:name w:val="Texto de comentário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1">
    <w:name w:val="Menção Pendente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iperlinkVisitado1">
    <w:name w:val="HiperlinkVisitado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Chars="0" w:left="0" w:firstLineChars="0" w:firstLine="0"/>
      <w:jc w:val="left"/>
      <w:textDirection w:val="btLr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mec.gov.br/index.php?option=com_docman&amp;view=download&amp;alias=104251-rces007-18&amp;category_slug=dezembro-2018-pdf&amp;Itemid=3019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uNTLio8Kg0xGXpUh1/QBwiZt8Q==">AMUW2mWAEl2u4ruHaXA+j1jrROjIPKQ3/m2kDXKUEMMG69YXUuxkcaMSvdHiublxr8NZIUDHgfLonP/gukiqXTYLiFzj5NtRQnHX65HbwJhyt4+hIvSx0UY=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Windows User</cp:lastModifiedBy>
  <cp:revision>3</cp:revision>
  <dcterms:created xsi:type="dcterms:W3CDTF">2022-10-12T23:29:00Z</dcterms:created>
  <dcterms:modified xsi:type="dcterms:W3CDTF">2022-10-18T17:07:00Z</dcterms:modified>
</cp:coreProperties>
</file>