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7788" w14:textId="77777777" w:rsidR="005E4DF8" w:rsidRDefault="005E4D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55"/>
        <w:gridCol w:w="6570"/>
        <w:gridCol w:w="1638"/>
      </w:tblGrid>
      <w:tr w:rsidR="005E4DF8" w14:paraId="6B660809" w14:textId="77777777">
        <w:trPr>
          <w:jc w:val="center"/>
        </w:trPr>
        <w:tc>
          <w:tcPr>
            <w:tcW w:w="2255" w:type="dxa"/>
            <w:vAlign w:val="center"/>
          </w:tcPr>
          <w:p w14:paraId="77A14F5B" w14:textId="77777777" w:rsidR="005E4DF8" w:rsidRDefault="0012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6A5071DE" wp14:editId="2B2D3BD3">
                  <wp:extent cx="909320" cy="920750"/>
                  <wp:effectExtent l="0" t="0" r="0" b="0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920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026E43AF" w14:textId="77777777" w:rsidR="005E4DF8" w:rsidRDefault="0012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MINISTÉRIO DA EDUCAÇÃO (MEC)</w:t>
            </w:r>
          </w:p>
          <w:p w14:paraId="5B273A28" w14:textId="77777777" w:rsidR="005E4DF8" w:rsidRDefault="001225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SECRETARIA DE EDUCAÇÃO PROFISSIONAL E TECNOLÓGICA (SETEC)</w:t>
            </w:r>
          </w:p>
          <w:p w14:paraId="0AEF0979" w14:textId="77777777" w:rsidR="005E4DF8" w:rsidRDefault="001225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INSTITUTO FEDERAL SUL-RIO-GRANDENSE (IFSul)</w:t>
            </w:r>
          </w:p>
          <w:p w14:paraId="0F4B1185" w14:textId="77777777" w:rsidR="005E4DF8" w:rsidRDefault="0012257B">
            <w:pPr>
              <w:spacing w:line="276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CAMPUS PELOTAS</w:t>
            </w:r>
          </w:p>
        </w:tc>
        <w:tc>
          <w:tcPr>
            <w:tcW w:w="1638" w:type="dxa"/>
            <w:vAlign w:val="center"/>
          </w:tcPr>
          <w:p w14:paraId="4DEBD563" w14:textId="77777777" w:rsidR="005E4DF8" w:rsidRDefault="005E4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4F2FA4" w14:textId="77777777" w:rsidR="005E4DF8" w:rsidRDefault="00122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5CCFE5" wp14:editId="60A0272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6500" cy="25400"/>
                <wp:effectExtent l="0" t="0" r="0" b="0"/>
                <wp:wrapNone/>
                <wp:docPr id="1027" name="Conector de Seta Reta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oval" w="sm" len="sm"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6500" cy="254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E36F7C" w14:textId="77777777" w:rsidR="005E4DF8" w:rsidRDefault="005E4DF8">
      <w:pPr>
        <w:ind w:left="0" w:hanging="2"/>
        <w:jc w:val="center"/>
        <w:rPr>
          <w:sz w:val="20"/>
          <w:szCs w:val="20"/>
        </w:rPr>
      </w:pPr>
    </w:p>
    <w:p w14:paraId="2C38B7C6" w14:textId="77777777" w:rsidR="005E4DF8" w:rsidRDefault="0012257B">
      <w:pPr>
        <w:ind w:left="0" w:hanging="2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b/>
          <w:sz w:val="20"/>
          <w:szCs w:val="20"/>
        </w:rPr>
        <w:t xml:space="preserve">PLANO DE ENSINO </w:t>
      </w:r>
    </w:p>
    <w:p w14:paraId="16EEE499" w14:textId="77777777" w:rsidR="005E4DF8" w:rsidRDefault="005E4DF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5C487DD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DE IDENTIFICAÇÃO</w:t>
      </w:r>
    </w:p>
    <w:p w14:paraId="3F9D11A9" w14:textId="77777777" w:rsidR="005E4DF8" w:rsidRDefault="005E4DF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7BB5B36" w14:textId="77777777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Curso: </w:t>
      </w:r>
    </w:p>
    <w:p w14:paraId="39A6DFCA" w14:textId="77777777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Docente: </w:t>
      </w:r>
    </w:p>
    <w:p w14:paraId="51E41290" w14:textId="77777777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Disciplina: </w:t>
      </w:r>
    </w:p>
    <w:p w14:paraId="35A8F169" w14:textId="453DB3A8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Período letivo: 202</w:t>
      </w:r>
      <w:r w:rsidR="007A21EC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/</w:t>
      </w:r>
      <w:r w:rsidR="004B715B">
        <w:rPr>
          <w:rFonts w:ascii="Arial" w:eastAsia="Arial" w:hAnsi="Arial" w:cs="Arial"/>
          <w:sz w:val="20"/>
          <w:szCs w:val="20"/>
        </w:rPr>
        <w:t>2</w:t>
      </w:r>
      <w:r w:rsidR="009C52B0">
        <w:rPr>
          <w:rFonts w:ascii="Arial" w:eastAsia="Arial" w:hAnsi="Arial" w:cs="Arial"/>
          <w:sz w:val="20"/>
          <w:szCs w:val="20"/>
        </w:rPr>
        <w:t xml:space="preserve"> </w:t>
      </w:r>
    </w:p>
    <w:p w14:paraId="2D420D7B" w14:textId="77777777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Carga horária total da disciplina: x horas aula (y horas relógio)</w:t>
      </w:r>
    </w:p>
    <w:p w14:paraId="5A0BF455" w14:textId="77777777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Carga horária semanal da disciplina: x horas aula (y horas relógio)</w:t>
      </w:r>
    </w:p>
    <w:p w14:paraId="3E94CF88" w14:textId="279D8ADB" w:rsidR="005E4DF8" w:rsidRPr="007A21EC" w:rsidRDefault="0012257B" w:rsidP="007A21EC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 w:rsidRPr="007A21EC">
        <w:rPr>
          <w:rFonts w:ascii="Arial" w:eastAsia="Arial" w:hAnsi="Arial" w:cs="Arial"/>
          <w:sz w:val="20"/>
          <w:szCs w:val="20"/>
        </w:rPr>
        <w:t xml:space="preserve"> Pré-requisitos (quando houver): </w:t>
      </w:r>
    </w:p>
    <w:p w14:paraId="6DEA6627" w14:textId="19EA19E4" w:rsidR="005E4DF8" w:rsidRDefault="0012257B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Horário de atendimento:</w:t>
      </w:r>
    </w:p>
    <w:p w14:paraId="44F00E47" w14:textId="5F957CBD" w:rsidR="00587BE8" w:rsidRDefault="00587BE8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bookmarkStart w:id="0" w:name="_Hlk127950156"/>
      <w:r>
        <w:rPr>
          <w:rFonts w:ascii="Arial" w:eastAsia="Arial" w:hAnsi="Arial" w:cs="Arial"/>
          <w:sz w:val="20"/>
          <w:szCs w:val="20"/>
        </w:rPr>
        <w:t>Horário da disciplina e dia da semana:</w:t>
      </w:r>
    </w:p>
    <w:p w14:paraId="6825312D" w14:textId="06FDF88C" w:rsidR="00587BE8" w:rsidRDefault="00587BE8">
      <w:pPr>
        <w:numPr>
          <w:ilvl w:val="1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Sala/Laboratório: </w:t>
      </w:r>
    </w:p>
    <w:bookmarkEnd w:id="0"/>
    <w:p w14:paraId="545DC686" w14:textId="77777777" w:rsidR="005E4DF8" w:rsidRDefault="0012257B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2C95F34C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OBJETIVOS GERAIS E ESPECÍFICOS </w:t>
      </w:r>
    </w:p>
    <w:p w14:paraId="0FA384AD" w14:textId="77777777" w:rsidR="005E4DF8" w:rsidRDefault="001225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F25A111" w14:textId="44ECD042" w:rsidR="005E4DF8" w:rsidRPr="00621328" w:rsidRDefault="0012257B">
      <w:pPr>
        <w:ind w:left="0" w:hanging="2"/>
        <w:jc w:val="both"/>
        <w:rPr>
          <w:rFonts w:ascii="Arial" w:eastAsia="Arial" w:hAnsi="Arial" w:cs="Arial"/>
          <w:color w:val="A6A6A6" w:themeColor="background1" w:themeShade="A6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t>Descrever os objetivos gerais e específicos da disciplina</w:t>
      </w:r>
      <w:r w:rsidR="007A21EC"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t>, conforme orientações pedagógicas da Coordenadoria de Apoio Pedagógico</w:t>
      </w:r>
      <w:r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t>.</w:t>
      </w:r>
    </w:p>
    <w:p w14:paraId="1D22CCB0" w14:textId="77777777" w:rsidR="005A5B37" w:rsidRDefault="005A5B37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40277325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Os objetivos determinam o que o discente (e não o docente) irá alcançar como consequência de seu aprendizado pleno. Trata-se de parâmetro importante, que norteia a avaliação. </w:t>
      </w:r>
    </w:p>
    <w:p w14:paraId="44791F48" w14:textId="77777777" w:rsidR="00621328" w:rsidRPr="00621328" w:rsidRDefault="00621328" w:rsidP="00621328">
      <w:pPr>
        <w:ind w:left="0" w:hanging="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5B1DE3A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Objetivo Geral </w:t>
      </w:r>
    </w:p>
    <w:p w14:paraId="43A74571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31FC8F6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Relaciona a contribuição da disciplina em modo amplo, ou seja, em relação às metas gerais do curso, expressas na ementa da disciplina. É necessário, no objetivo geral, definir em que medida a disciplina contribui para a formação do profissional daquele curso. Deve ser escrito em texto dissertativo demonstrando amplitude, abrangência e a ideia de processo. São exemplos: Formar, desenvolver, capacitar etc. </w:t>
      </w:r>
    </w:p>
    <w:p w14:paraId="756D2EBA" w14:textId="77777777" w:rsidR="00621328" w:rsidRPr="00621328" w:rsidRDefault="00621328" w:rsidP="00621328">
      <w:pPr>
        <w:ind w:left="0" w:hanging="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8A67999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Objetivos Específicos </w:t>
      </w:r>
    </w:p>
    <w:p w14:paraId="2593E63C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5F444D1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São os resultados, esperados, mais imediatos com relação à interpretação de fatos, expressão de ideias, compreensão da temática, formação de conceitos, estabelecimento de relações entre o assunto estudado e conhecimentos anteriores sejam do cotidiano ou acadêmicos, relacionados às unidades temáticas. Sendo assim, os objetivos específicos devem estar relacionados aos conteúdos programados para o semestre.</w:t>
      </w:r>
    </w:p>
    <w:p w14:paraId="7700E887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Os verbos utilizados aqui dizem respeito a ações mais imediatas como: observar, distinguir, diferenciar, realizar, verificar, identificar etc.</w:t>
      </w:r>
    </w:p>
    <w:p w14:paraId="0CE60677" w14:textId="77777777" w:rsidR="005A5B37" w:rsidRDefault="005A5B37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1A0AFD7" w14:textId="524682AB" w:rsidR="005E4DF8" w:rsidRDefault="001225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7C869A73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CONTEÚDO PROGRAMÁTICO </w:t>
      </w:r>
    </w:p>
    <w:p w14:paraId="52E03BB1" w14:textId="77777777" w:rsidR="005E4DF8" w:rsidRDefault="005E4DF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5ED056" w14:textId="20F3E45B" w:rsidR="005E4DF8" w:rsidRPr="00621328" w:rsidRDefault="0012257B">
      <w:pPr>
        <w:ind w:left="0" w:hanging="2"/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</w:pPr>
      <w:r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t>Descrever o conteúdo a ser desenvolvido na disciplina.</w:t>
      </w:r>
      <w:r w:rsidR="005A5B37"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t xml:space="preserve"> Os conteúdos devem ser os mesmos previstos no programa da disciplina aprovada no Projeto Pedagógico do Curso.</w:t>
      </w:r>
    </w:p>
    <w:p w14:paraId="725C0045" w14:textId="5044D5C7" w:rsidR="005A5B37" w:rsidRDefault="005A5B37">
      <w:pPr>
        <w:ind w:left="0" w:hanging="2"/>
        <w:rPr>
          <w:rFonts w:ascii="Arial" w:eastAsia="Arial" w:hAnsi="Arial" w:cs="Arial"/>
          <w:i/>
          <w:sz w:val="20"/>
          <w:szCs w:val="20"/>
        </w:rPr>
      </w:pPr>
    </w:p>
    <w:p w14:paraId="1496FE4C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Os conteúdos, normalmente agrupados em unidade e subunidades temáticas, revelam a proposta geral da disciplina, constante no programa de cada disciplina. Cada unidade é formada em torno de uma ideia central e subdividida em tópicos com uma relação significativa entre si, para facilitar o estudo dos alunos. </w:t>
      </w:r>
    </w:p>
    <w:p w14:paraId="7BCA2269" w14:textId="77777777" w:rsidR="00621328" w:rsidRDefault="00621328">
      <w:pPr>
        <w:ind w:left="0" w:hanging="2"/>
        <w:rPr>
          <w:rFonts w:ascii="Arial" w:eastAsia="Arial" w:hAnsi="Arial" w:cs="Arial"/>
          <w:i/>
          <w:sz w:val="20"/>
          <w:szCs w:val="20"/>
        </w:rPr>
      </w:pPr>
    </w:p>
    <w:p w14:paraId="736B67AE" w14:textId="77777777" w:rsidR="005E4DF8" w:rsidRPr="005A5B37" w:rsidRDefault="0012257B">
      <w:pPr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A5B37">
        <w:rPr>
          <w:rFonts w:ascii="Arial" w:eastAsia="Arial" w:hAnsi="Arial" w:cs="Arial"/>
          <w:b/>
          <w:i/>
          <w:iCs/>
          <w:sz w:val="20"/>
          <w:szCs w:val="20"/>
        </w:rPr>
        <w:tab/>
      </w:r>
    </w:p>
    <w:p w14:paraId="7A756289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METODOLOGIA E RECURSOS UTILIZADOS PARA O DESENVOLVIMENTO DA DISCIPLINA</w:t>
      </w:r>
    </w:p>
    <w:p w14:paraId="04522A5E" w14:textId="77777777" w:rsidR="005E4DF8" w:rsidRDefault="005E4DF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AB6315" w14:textId="3E2401EF" w:rsidR="005A5B37" w:rsidRPr="00621328" w:rsidRDefault="005A5B37" w:rsidP="005A5B37">
      <w:pPr>
        <w:ind w:left="0" w:hanging="2"/>
        <w:jc w:val="both"/>
        <w:rPr>
          <w:rFonts w:ascii="Arial" w:eastAsia="Arial" w:hAnsi="Arial" w:cs="Arial"/>
          <w:color w:val="A6A6A6" w:themeColor="background1" w:themeShade="A6"/>
          <w:sz w:val="20"/>
          <w:szCs w:val="20"/>
        </w:rPr>
      </w:pPr>
      <w:r w:rsidRPr="00621328">
        <w:rPr>
          <w:rFonts w:ascii="Arial" w:eastAsia="Arial" w:hAnsi="Arial" w:cs="Arial"/>
          <w:i/>
          <w:color w:val="A6A6A6" w:themeColor="background1" w:themeShade="A6"/>
          <w:sz w:val="20"/>
          <w:szCs w:val="20"/>
        </w:rPr>
        <w:lastRenderedPageBreak/>
        <w:t>Descrever a metodologia e os recursos utilizados para o desenvolvimento da disciplina.</w:t>
      </w:r>
    </w:p>
    <w:p w14:paraId="01137806" w14:textId="019923C2" w:rsidR="005A5B37" w:rsidRDefault="005A5B37" w:rsidP="009C52B0">
      <w:pPr>
        <w:ind w:left="0" w:hanging="2"/>
        <w:rPr>
          <w:rFonts w:ascii="Arial" w:eastAsia="Arial" w:hAnsi="Arial" w:cs="Arial"/>
          <w:i/>
          <w:sz w:val="20"/>
          <w:szCs w:val="20"/>
        </w:rPr>
      </w:pPr>
    </w:p>
    <w:p w14:paraId="7A2E2A1B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As metodologias selecionadas pelos professores devem expressar as atividades e técnicas que serão utilizadas para o alcance dos objetivos e desenvolvimentos dos conteúdos.</w:t>
      </w:r>
    </w:p>
    <w:p w14:paraId="581240F9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Envolve os métodos e técnicas de estudo:</w:t>
      </w:r>
    </w:p>
    <w:p w14:paraId="4F537157" w14:textId="77777777" w:rsidR="00621328" w:rsidRPr="00621328" w:rsidRDefault="00621328" w:rsidP="00621328">
      <w:pPr>
        <w:ind w:leftChars="0" w:left="2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a) Método de exposição pelo professor (apresenta, explica, demonstra, ilustra, exemplifica). </w:t>
      </w:r>
    </w:p>
    <w:p w14:paraId="4F2FEB20" w14:textId="77777777" w:rsidR="00621328" w:rsidRPr="00621328" w:rsidRDefault="00621328" w:rsidP="00621328">
      <w:pPr>
        <w:ind w:leftChars="0" w:left="2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b) Método de trabalho independente (os alunos desenvolvem tarefas dirigidas e orientadas pelo professor ex: estudo dirigido ou leitura orientada, investigação e solução de problemas, sínteses preparatórias ou de elaboração posterior à aula). </w:t>
      </w:r>
    </w:p>
    <w:p w14:paraId="7C5C0044" w14:textId="77777777" w:rsidR="00621328" w:rsidRPr="00621328" w:rsidRDefault="00621328" w:rsidP="00621328">
      <w:pPr>
        <w:ind w:leftChars="0" w:left="2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c) Método de elaboração conjunta (aula dialogada ou conversação didática sobre o tema, perguntas instigadoras de discussão e de buscas de novos olhares para a questão em estudo). </w:t>
      </w:r>
    </w:p>
    <w:p w14:paraId="70832224" w14:textId="77777777" w:rsidR="00621328" w:rsidRPr="00621328" w:rsidRDefault="00621328" w:rsidP="00621328">
      <w:pPr>
        <w:ind w:leftChars="0" w:left="2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d) Método de trabalho em grupo (os alunos em cooperação desenvolvem tarefas propostas pelo professor, comunicam os resultados à classe e se estabelece uma conversação didática dirigida pelo o professor. Ex: debates, tempestade mental, seminários). </w:t>
      </w:r>
    </w:p>
    <w:p w14:paraId="71C1BF94" w14:textId="77777777" w:rsidR="00621328" w:rsidRPr="00621328" w:rsidRDefault="00621328" w:rsidP="00621328">
      <w:pPr>
        <w:ind w:leftChars="0" w:left="2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e) Método de projetos (investigação de um tema previamente selecionado. Exige planejamento, execução, coleta e organização de dados, sistematização e apresentação dos resultados). </w:t>
      </w:r>
    </w:p>
    <w:p w14:paraId="30DF7E63" w14:textId="77777777" w:rsidR="00621328" w:rsidRPr="00621328" w:rsidRDefault="00621328" w:rsidP="00621328">
      <w:pPr>
        <w:ind w:left="0" w:hanging="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9006BEB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Entre outras possibilidades. </w:t>
      </w:r>
    </w:p>
    <w:p w14:paraId="7038C294" w14:textId="77777777" w:rsidR="00621328" w:rsidRPr="00621328" w:rsidRDefault="00621328" w:rsidP="00621328">
      <w:pPr>
        <w:ind w:left="0" w:hanging="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C8D880C" w14:textId="77777777" w:rsidR="00621328" w:rsidRPr="00621328" w:rsidRDefault="00621328" w:rsidP="00621328">
      <w:pPr>
        <w:ind w:leftChars="0" w:left="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É importante não confundir o método com os recursos que o docente utiliza na aula. Assim, “aula com projetor” não é propriamente um método pois essa aula pode ser expositiva, de discussão, de demonstração.</w:t>
      </w:r>
    </w:p>
    <w:p w14:paraId="6CA91DEE" w14:textId="77777777" w:rsidR="00621328" w:rsidRDefault="00621328" w:rsidP="00621328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6AFD71C9" w14:textId="18032196" w:rsidR="00621328" w:rsidRDefault="00621328" w:rsidP="009C52B0">
      <w:pPr>
        <w:ind w:left="0" w:hanging="2"/>
        <w:rPr>
          <w:rFonts w:ascii="Arial" w:eastAsia="Arial" w:hAnsi="Arial" w:cs="Arial"/>
          <w:i/>
          <w:sz w:val="20"/>
          <w:szCs w:val="20"/>
        </w:rPr>
      </w:pPr>
    </w:p>
    <w:p w14:paraId="5CA1704D" w14:textId="77777777" w:rsidR="005E4DF8" w:rsidRDefault="005E4DF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85E1E4D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CRONOGRAMA DAS ATIVIDADES</w:t>
      </w:r>
    </w:p>
    <w:p w14:paraId="0DBD5222" w14:textId="7D1F9D94" w:rsidR="005E4DF8" w:rsidRDefault="005E4DF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068D97" w14:textId="77777777" w:rsidR="005A5B37" w:rsidRPr="007A21EC" w:rsidRDefault="005A5B37" w:rsidP="005A5B37">
      <w:pPr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7A21EC">
        <w:rPr>
          <w:rFonts w:ascii="Arial" w:hAnsi="Arial" w:cs="Arial"/>
          <w:i/>
          <w:iCs/>
          <w:color w:val="FF0000"/>
          <w:sz w:val="20"/>
          <w:szCs w:val="20"/>
        </w:rPr>
        <w:t>O cronograma de atividades deve contemplar a disposição dos conhecimentos na sequência em que serão apresentados e a distribuição do conteúdo ao longo das aulas.</w:t>
      </w:r>
    </w:p>
    <w:p w14:paraId="120E994A" w14:textId="551B6ECB" w:rsidR="005A5B37" w:rsidRDefault="005A5B37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9081"/>
      </w:tblGrid>
      <w:tr w:rsidR="007A21EC" w:rsidRPr="00D50126" w14:paraId="38BB2AA4" w14:textId="77777777" w:rsidTr="00E31EF6">
        <w:trPr>
          <w:trHeight w:val="276"/>
          <w:jc w:val="center"/>
        </w:trPr>
        <w:tc>
          <w:tcPr>
            <w:tcW w:w="1266" w:type="dxa"/>
            <w:vAlign w:val="center"/>
          </w:tcPr>
          <w:p w14:paraId="51929435" w14:textId="77777777" w:rsidR="007A21EC" w:rsidRPr="00D50126" w:rsidRDefault="007A21EC" w:rsidP="00E31E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Aulas</w:t>
            </w:r>
          </w:p>
        </w:tc>
        <w:tc>
          <w:tcPr>
            <w:tcW w:w="9081" w:type="dxa"/>
            <w:vAlign w:val="center"/>
          </w:tcPr>
          <w:p w14:paraId="7F4C99F4" w14:textId="77777777" w:rsidR="007A21EC" w:rsidRPr="00D50126" w:rsidRDefault="007A21EC" w:rsidP="00E31E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126">
              <w:rPr>
                <w:rFonts w:ascii="Arial" w:eastAsia="Arial" w:hAnsi="Arial" w:cs="Arial"/>
                <w:b/>
                <w:sz w:val="20"/>
                <w:szCs w:val="20"/>
              </w:rPr>
              <w:t>Conteúdo/Atividades</w:t>
            </w:r>
          </w:p>
        </w:tc>
      </w:tr>
      <w:tr w:rsidR="007A21EC" w:rsidRPr="00D50126" w14:paraId="39C82FD6" w14:textId="77777777" w:rsidTr="00E31EF6">
        <w:trPr>
          <w:cantSplit/>
          <w:trHeight w:val="254"/>
          <w:jc w:val="center"/>
        </w:trPr>
        <w:tc>
          <w:tcPr>
            <w:tcW w:w="1266" w:type="dxa"/>
            <w:vAlign w:val="center"/>
          </w:tcPr>
          <w:p w14:paraId="7F5F98EF" w14:textId="77777777" w:rsidR="007A21EC" w:rsidRPr="00D50126" w:rsidRDefault="007A21EC" w:rsidP="00E31E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12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81" w:type="dxa"/>
            <w:vAlign w:val="center"/>
          </w:tcPr>
          <w:p w14:paraId="117B1458" w14:textId="77777777" w:rsidR="007A21EC" w:rsidRPr="00D50126" w:rsidRDefault="007A21EC" w:rsidP="007A21EC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21EC" w:rsidRPr="00D50126" w14:paraId="2240278A" w14:textId="77777777" w:rsidTr="00E31EF6">
        <w:trPr>
          <w:cantSplit/>
          <w:trHeight w:val="334"/>
          <w:jc w:val="center"/>
        </w:trPr>
        <w:tc>
          <w:tcPr>
            <w:tcW w:w="1266" w:type="dxa"/>
            <w:vAlign w:val="center"/>
          </w:tcPr>
          <w:p w14:paraId="4FE0039A" w14:textId="77777777" w:rsidR="007A21EC" w:rsidRPr="00D50126" w:rsidRDefault="007A21EC" w:rsidP="00E31E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12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81" w:type="dxa"/>
            <w:vAlign w:val="center"/>
          </w:tcPr>
          <w:p w14:paraId="5FF70322" w14:textId="77777777" w:rsidR="007A21EC" w:rsidRPr="00D50126" w:rsidRDefault="007A21EC" w:rsidP="007A21EC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196123" w14:textId="462633C4" w:rsidR="005E4DF8" w:rsidRDefault="005E4DF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AE173E" w14:textId="77777777" w:rsidR="00E05ED8" w:rsidRDefault="00E05ED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B032F1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METODOLOGIA DE AVALIAÇÃO E REAVALIAÇÃO</w:t>
      </w:r>
    </w:p>
    <w:p w14:paraId="5C9F0181" w14:textId="77777777" w:rsidR="005E4DF8" w:rsidRDefault="0012257B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A071FA1" w14:textId="673E2FC3" w:rsidR="00621328" w:rsidRPr="00621328" w:rsidRDefault="0012257B" w:rsidP="00621328">
      <w:pPr>
        <w:ind w:left="0" w:hanging="2"/>
        <w:jc w:val="both"/>
        <w:rPr>
          <w:rFonts w:ascii="Arial" w:eastAsia="Arial" w:hAnsi="Arial" w:cs="Arial"/>
          <w:i/>
          <w:iCs/>
          <w:color w:val="A6A6A6" w:themeColor="background1" w:themeShade="A6"/>
          <w:sz w:val="20"/>
          <w:szCs w:val="20"/>
        </w:rPr>
      </w:pPr>
      <w:r w:rsidRPr="00621328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Pr="00621328">
        <w:rPr>
          <w:rFonts w:ascii="Arial" w:eastAsia="Arial" w:hAnsi="Arial" w:cs="Arial"/>
          <w:i/>
          <w:iCs/>
          <w:color w:val="A6A6A6" w:themeColor="background1" w:themeShade="A6"/>
          <w:sz w:val="20"/>
          <w:szCs w:val="20"/>
        </w:rPr>
        <w:t xml:space="preserve">Descrever a metodologia de avaliação e reavaliação </w:t>
      </w:r>
      <w:r w:rsidR="00621328" w:rsidRPr="00621328">
        <w:rPr>
          <w:rFonts w:ascii="Arial" w:eastAsia="Arial" w:hAnsi="Arial" w:cs="Arial"/>
          <w:i/>
          <w:iCs/>
          <w:color w:val="A6A6A6" w:themeColor="background1" w:themeShade="A6"/>
          <w:sz w:val="20"/>
          <w:szCs w:val="20"/>
        </w:rPr>
        <w:t>de acordo com as orientações pedagógicas da Coordenadoria de Apoio Pedagógico.</w:t>
      </w:r>
    </w:p>
    <w:p w14:paraId="5B099B06" w14:textId="3E553E27" w:rsidR="005E4DF8" w:rsidRPr="005A5B37" w:rsidRDefault="005E4DF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7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A46942F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17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Mais do que descrever quantos pontos serão distribuídos ao longo do período letivo, este item exige uma definição clara do que e como será a avaliação: os critérios, a quantidade e os tipos de instrumentos utilizados, como será a correção, em que momentos e com que frequência os discentes serão avaliados. </w:t>
      </w:r>
    </w:p>
    <w:p w14:paraId="10AF9A61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right="170" w:firstLineChars="0" w:firstLine="71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A avaliação serve para verificar se os objetivos foram alcançados, se os alunos consolidaram a aprendizagem e se a atuação docente foi adequada quanto aos objetivos, conteúdos, metodologia, relacionamento professor/aluno, procedimentos de avaliação, duração das aulas. Pode ser informal para fins de diagnóstico e acompanhamento da turma ou formal para fins de atribuição de notas ou conceitos. Para cada tipo há instrumentos próprios, que devem ser explicitados no plano. </w:t>
      </w:r>
    </w:p>
    <w:p w14:paraId="3BC243C5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17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Durante a correção da avaliação deve ser considerada toda a aprendizagem do aluno, devendo ser atribuída uma nota ou conceito, ainda que esta seja considerada insuficiente. A nota deve estar relacionada a aprendizagem do aluno e não deve ser atrelada a frequência ou a participação em aula.</w:t>
      </w:r>
    </w:p>
    <w:p w14:paraId="26AEAFD0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17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Avaliação e recuperação são itens que devem andar juntos durante o processo. Quando o docente verifica, por meio da avaliação, que o discente não teve o progresso esperado no seu aprendizado, deve lançar mão de estratégias para realizar a recuperação do mesmo. É preciso descrever, além das avaliações e dos critérios das mesmas, quais são essas estratégias. </w:t>
      </w:r>
    </w:p>
    <w:p w14:paraId="169B90D6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17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 xml:space="preserve">“Prova final” ou “melhor de 3 entre 4 provas” não são expressões que definem a recuperação. A redação desse item deve procurar responder à pergunta: Como propicio condições, ao discente com desempenho insuficiente, de recuperar o conteúdo não aprendido? E como o avalio novamente? </w:t>
      </w:r>
    </w:p>
    <w:p w14:paraId="69102626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170" w:firstLineChars="0" w:firstLine="7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 xml:space="preserve">Sabe-se que não é simples estabelecer estratégias de recuperação em meio à continuidade do curso, ou seja, não é possível “parar a aula” para recuperar quem não aprendeu. Mas conforme previsto na </w:t>
      </w:r>
      <w:r w:rsidRPr="00621328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Organização Didática (art. 120, § 3º)</w:t>
      </w: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, estratégias podem (e devem) ser trabalhadas para que o discente tenha novas chances de aprender como: encaminhá-lo ao serviço de monitoria, entregar-lhe atividades para que possa fazer paralelamente, organizar grupos em sala, nos quais aqueles com maior dificuldade possam interagir com os discentes que têm maior familiaridade com o conteúdo. É possível propiciar essas condições! O que não se pode é entregar ao discente, simplesmente, uma nova prova e pedir-lhe que, sem nenhum trabalho de recuperação, a refaça. Nesse caso pouca diferença haverá pois o discente não foi “movido” através de alguma estratégia, do lugar em que se encontrava no percurso da aprendizagem.</w:t>
      </w:r>
    </w:p>
    <w:p w14:paraId="2B9479CA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</w:p>
    <w:p w14:paraId="7A110921" w14:textId="77777777" w:rsidR="00621328" w:rsidRPr="00621328" w:rsidRDefault="00621328" w:rsidP="00621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70" w:firstLineChars="0" w:firstLine="720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Cabe ressaltar que, de acordo com </w:t>
      </w:r>
      <w:r w:rsidRPr="00621328"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  <w:t xml:space="preserve">Organização Didática (art. 120, </w:t>
      </w:r>
      <w:r w:rsidRPr="00621328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§ 1º),</w:t>
      </w:r>
      <w:r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somente não fará jus à reavaliação o estudante infrequente. Lembrando que a frequência é dada pelo cômputo geral e não pela frequência na disciplina. Deste modo, ainda que o aluno não realize a avaliação, ele terá direito a reavaliação.</w:t>
      </w:r>
    </w:p>
    <w:p w14:paraId="7813C8BB" w14:textId="77777777" w:rsidR="007B14C8" w:rsidRPr="00621328" w:rsidRDefault="007B14C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7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</w:p>
    <w:p w14:paraId="533072A3" w14:textId="4D016D56" w:rsidR="005E4DF8" w:rsidRDefault="0012257B" w:rsidP="00621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   </w:t>
      </w:r>
    </w:p>
    <w:p w14:paraId="04AAAB83" w14:textId="77777777" w:rsidR="005E4DF8" w:rsidRDefault="0012257B">
      <w:pPr>
        <w:shd w:val="clear" w:color="auto" w:fill="C0C0C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REFERÊNCIAS</w:t>
      </w:r>
    </w:p>
    <w:p w14:paraId="22828154" w14:textId="77777777" w:rsidR="005E4DF8" w:rsidRDefault="005E4DF8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3A84AF6" w14:textId="495FBBB0" w:rsidR="005E4DF8" w:rsidRPr="00621328" w:rsidRDefault="0012257B" w:rsidP="009C52B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7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>Utilizar</w:t>
      </w:r>
      <w:r w:rsidR="00F6552F"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>, preferencialmente, as referências</w:t>
      </w:r>
      <w:r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disponíve</w:t>
      </w:r>
      <w:r w:rsidR="00F6552F"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>is</w:t>
      </w:r>
      <w:r w:rsidRPr="0062132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na Biblioteca do Câmpus Pelotas.</w:t>
      </w:r>
    </w:p>
    <w:p w14:paraId="6487073D" w14:textId="2B2DAA92" w:rsidR="005A5B37" w:rsidRDefault="005A5B37" w:rsidP="009C52B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7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CF36CE5" w14:textId="77777777" w:rsidR="005A5B37" w:rsidRPr="00621328" w:rsidRDefault="005A5B37" w:rsidP="005A5B37">
      <w:pPr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621328">
        <w:rPr>
          <w:rFonts w:ascii="Arial" w:hAnsi="Arial" w:cs="Arial"/>
          <w:i/>
          <w:iCs/>
          <w:color w:val="FF0000"/>
          <w:sz w:val="20"/>
          <w:szCs w:val="20"/>
        </w:rPr>
        <w:t>Relação dos textos, sites e livros a serem utilizados, apresentados de acordo com as normas da Associação Brasileira de Normas técnicas – ABNT. Podem ser divididas entre referências básicas e complementares.</w:t>
      </w:r>
    </w:p>
    <w:p w14:paraId="11F55CBD" w14:textId="77777777" w:rsidR="005A5B37" w:rsidRPr="005A5B37" w:rsidRDefault="005A5B37" w:rsidP="009C52B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7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</w:p>
    <w:sectPr w:rsidR="005A5B37" w:rsidRPr="005A5B37">
      <w:headerReference w:type="default" r:id="rId10"/>
      <w:footerReference w:type="even" r:id="rId11"/>
      <w:footerReference w:type="default" r:id="rId12"/>
      <w:pgSz w:w="11909" w:h="16834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91CD" w14:textId="77777777" w:rsidR="005B0462" w:rsidRDefault="005B0462">
      <w:pPr>
        <w:spacing w:line="240" w:lineRule="auto"/>
        <w:ind w:left="0" w:hanging="2"/>
      </w:pPr>
      <w:r>
        <w:separator/>
      </w:r>
    </w:p>
  </w:endnote>
  <w:endnote w:type="continuationSeparator" w:id="0">
    <w:p w14:paraId="06F39C11" w14:textId="77777777" w:rsidR="005B0462" w:rsidRDefault="005B04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xton L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C531" w14:textId="77777777" w:rsidR="005E4DF8" w:rsidRDefault="00122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E3ED0F4" w14:textId="77777777" w:rsidR="005E4DF8" w:rsidRDefault="005E4D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4C2" w14:textId="77777777" w:rsidR="005E4DF8" w:rsidRDefault="00122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7BE8">
      <w:rPr>
        <w:noProof/>
        <w:color w:val="000000"/>
      </w:rPr>
      <w:t>1</w:t>
    </w:r>
    <w:r>
      <w:rPr>
        <w:color w:val="000000"/>
      </w:rPr>
      <w:fldChar w:fldCharType="end"/>
    </w:r>
  </w:p>
  <w:p w14:paraId="3892FF88" w14:textId="77777777" w:rsidR="005E4DF8" w:rsidRDefault="00122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284" w:hanging="2"/>
      <w:rPr>
        <w:color w:val="000000"/>
      </w:rPr>
    </w:pPr>
    <w:r>
      <w:rPr>
        <w:color w:val="000000"/>
      </w:rPr>
      <w:t>IFSul – Campus Pelotas/DIREN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A576AD6" wp14:editId="06AA9DD7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50965" cy="25400"/>
              <wp:effectExtent l="0" t="0" r="0" b="0"/>
              <wp:wrapNone/>
              <wp:docPr id="1028" name="Conector de Seta Ret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20518" y="3776825"/>
                        <a:ext cx="6450965" cy="63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50965" cy="2540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096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F51F" w14:textId="77777777" w:rsidR="005B0462" w:rsidRDefault="005B0462">
      <w:pPr>
        <w:spacing w:line="240" w:lineRule="auto"/>
        <w:ind w:left="0" w:hanging="2"/>
      </w:pPr>
      <w:r>
        <w:separator/>
      </w:r>
    </w:p>
  </w:footnote>
  <w:footnote w:type="continuationSeparator" w:id="0">
    <w:p w14:paraId="4ED6C947" w14:textId="77777777" w:rsidR="005B0462" w:rsidRDefault="005B04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D74D" w14:textId="77777777" w:rsidR="005E4DF8" w:rsidRDefault="00122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C8A7D7" wp14:editId="79DBA50A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72200" cy="254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72200" cy="254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768A"/>
    <w:multiLevelType w:val="multilevel"/>
    <w:tmpl w:val="B022B1DA"/>
    <w:lvl w:ilvl="0">
      <w:start w:val="1"/>
      <w:numFmt w:val="decimal"/>
      <w:pStyle w:val="EstiloTtulo111ptAntes18ptDepoisde6p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445EE2"/>
    <w:multiLevelType w:val="multilevel"/>
    <w:tmpl w:val="956248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0537C7"/>
    <w:multiLevelType w:val="multilevel"/>
    <w:tmpl w:val="F6DAC2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59D26A4"/>
    <w:multiLevelType w:val="multilevel"/>
    <w:tmpl w:val="54860C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72384D"/>
    <w:multiLevelType w:val="multilevel"/>
    <w:tmpl w:val="58AAEE2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088042057">
    <w:abstractNumId w:val="2"/>
  </w:num>
  <w:num w:numId="2" w16cid:durableId="398093037">
    <w:abstractNumId w:val="1"/>
  </w:num>
  <w:num w:numId="3" w16cid:durableId="1128206207">
    <w:abstractNumId w:val="4"/>
  </w:num>
  <w:num w:numId="4" w16cid:durableId="894506413">
    <w:abstractNumId w:val="0"/>
  </w:num>
  <w:num w:numId="5" w16cid:durableId="13102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F8"/>
    <w:rsid w:val="0012257B"/>
    <w:rsid w:val="004B715B"/>
    <w:rsid w:val="00587BE8"/>
    <w:rsid w:val="005A5B37"/>
    <w:rsid w:val="005B0462"/>
    <w:rsid w:val="005E4DF8"/>
    <w:rsid w:val="00621328"/>
    <w:rsid w:val="007A21EC"/>
    <w:rsid w:val="007B14C8"/>
    <w:rsid w:val="0081018C"/>
    <w:rsid w:val="00863E7C"/>
    <w:rsid w:val="009C52B0"/>
    <w:rsid w:val="00A204A2"/>
    <w:rsid w:val="00A7571E"/>
    <w:rsid w:val="00AB664A"/>
    <w:rsid w:val="00C21343"/>
    <w:rsid w:val="00D0257D"/>
    <w:rsid w:val="00D316ED"/>
    <w:rsid w:val="00D97138"/>
    <w:rsid w:val="00E05ED8"/>
    <w:rsid w:val="00F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D951"/>
  <w15:docId w15:val="{E147D584-9F59-4691-8A3C-0784EF7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 w:cs="Arial"/>
      <w:b/>
      <w:sz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EstiloTtulo111ptAntes18ptDepoisde6pt">
    <w:name w:val="Estilo Título 1 + 11 pt Antes:  18 pt Depois de:  6 pt"/>
    <w:basedOn w:val="Ttulo1"/>
    <w:pPr>
      <w:numPr>
        <w:numId w:val="4"/>
      </w:numPr>
      <w:spacing w:before="360" w:after="360"/>
      <w:ind w:left="-1" w:hanging="1"/>
      <w:jc w:val="left"/>
    </w:pPr>
    <w:rPr>
      <w:bCs/>
      <w:kern w:val="32"/>
      <w:sz w:val="28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pPr>
      <w:spacing w:after="120"/>
      <w:ind w:firstLine="709"/>
      <w:jc w:val="both"/>
    </w:pPr>
    <w:rPr>
      <w:rFonts w:ascii="Caxton Lt BT" w:hAnsi="Caxton Lt BT"/>
      <w:sz w:val="20"/>
      <w:szCs w:val="20"/>
    </w:rPr>
  </w:style>
  <w:style w:type="paragraph" w:styleId="PargrafodaLista">
    <w:name w:val="List Paragraph"/>
    <w:basedOn w:val="Normal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pt-PT" w:bidi="pt-PT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BgvyA6TfCNNeTELqtkQetLA1sA==">AMUW2mWqoOWAjDJVFaJBIJa6R04SZTYm/p7orp3ewP8FpM36oI6kDakVAHRC63yDoQfqRMZSOFTi9XHYf5POYApxmJ3v75b+FbwQMU6efknPQdPQvPRQSOE=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DIREN</cp:lastModifiedBy>
  <cp:revision>12</cp:revision>
  <dcterms:created xsi:type="dcterms:W3CDTF">2007-09-06T20:42:00Z</dcterms:created>
  <dcterms:modified xsi:type="dcterms:W3CDTF">2023-07-28T18:29:00Z</dcterms:modified>
</cp:coreProperties>
</file>