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10540" cy="557530"/>
            <wp:effectExtent b="0" l="0" r="0" t="0"/>
            <wp:docPr descr="brasao da republica" id="1026" name="image1.png"/>
            <a:graphic>
              <a:graphicData uri="http://schemas.openxmlformats.org/drawingml/2006/picture">
                <pic:pic>
                  <pic:nvPicPr>
                    <pic:cNvPr descr="brasao da republic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57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Instituto Federal de Educação, Ciência e Tecnologia Sul-rio-grandense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Pró-Reitoria de Ensino</w:t>
      </w:r>
    </w:p>
    <w:p w:rsidR="00000000" w:rsidDel="00000000" w:rsidP="00000000" w:rsidRDefault="00000000" w:rsidRPr="00000000" w14:paraId="00000006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left="0"/>
        <w:jc w:val="center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171717" w:space="0" w:sz="4" w:val="single"/>
          <w:left w:color="171717" w:space="0" w:sz="4" w:val="single"/>
          <w:bottom w:color="171717" w:space="0" w:sz="4" w:val="single"/>
          <w:right w:color="171717" w:space="0" w:sz="4" w:val="single"/>
          <w:insideH w:color="171717" w:space="0" w:sz="4" w:val="single"/>
          <w:insideV w:color="171717" w:space="0" w:sz="4" w:val="single"/>
        </w:tblBorders>
        <w:tblLayout w:type="fixed"/>
        <w:tblLook w:val="00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cantSplit w:val="0"/>
          <w:trHeight w:val="284.031496062992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DISCIPLINA: </w:t>
            </w:r>
            <w:r w:rsidDel="00000000" w:rsidR="00000000" w:rsidRPr="00000000">
              <w:rPr>
                <w:b w:val="1"/>
                <w:rtl w:val="0"/>
              </w:rPr>
              <w:t xml:space="preserve">Química Geral Aplicada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Vigência:</w:t>
            </w:r>
            <w:r w:rsidDel="00000000" w:rsidR="00000000" w:rsidRPr="00000000">
              <w:rPr>
                <w:color w:val="171717"/>
                <w:rtl w:val="0"/>
              </w:rPr>
              <w:t xml:space="preserve"> a partir de 2023/1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0"/>
              <w:rPr/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Período letivo:</w:t>
            </w:r>
            <w:r w:rsidDel="00000000" w:rsidR="00000000" w:rsidRPr="00000000">
              <w:rPr>
                <w:color w:val="1717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1º Semestre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Carga horária total:</w:t>
            </w:r>
            <w:r w:rsidDel="00000000" w:rsidR="00000000" w:rsidRPr="00000000">
              <w:rPr>
                <w:color w:val="171717"/>
                <w:rtl w:val="0"/>
              </w:rPr>
              <w:t xml:space="preserve">  60h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0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Código:</w:t>
            </w:r>
            <w:r w:rsidDel="00000000" w:rsidR="00000000" w:rsidRPr="00000000">
              <w:rPr>
                <w:color w:val="1717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S1BD1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Extensão: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 Prática:  </w:t>
            </w:r>
          </w:p>
        </w:tc>
        <w:tc>
          <w:tcPr>
            <w:tcBorders>
              <w:top w:color="171717" w:space="0" w:sz="4" w:val="single"/>
              <w:left w:color="171717" w:space="0" w:sz="4" w:val="single"/>
              <w:bottom w:color="171717" w:space="0" w:sz="4" w:val="single"/>
              <w:right w:color="171717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EaD: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0"/>
              <w:jc w:val="both"/>
              <w:rPr>
                <w:color w:val="171717"/>
              </w:rPr>
            </w:pPr>
            <w:r w:rsidDel="00000000" w:rsidR="00000000" w:rsidRPr="00000000">
              <w:rPr>
                <w:b w:val="1"/>
                <w:color w:val="171717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  <w:t xml:space="preserve">Estudo dos fenômenos da Química Geral, Química Inorgânica e Físico-química aplicados ao contexto do Saneamento Ambiental.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bookmarkStart w:colFirst="0" w:colLast="0" w:name="_heading=h.socksymw58r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Conteúdos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UNIDADE I - Teoria Atômica e Estrutura Eletrônica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Teoria atômica da matéria.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Partículas subatômicas.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Modelo quântico.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Números quânticos.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Regra de Hund e princípio de AUFBAU.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Classificação periódica dos elementos.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Carga nuclear efetiva e raio atômico.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 Propriedades periódicas.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 Química descritiva dos elementos representativos.</w:t>
      </w:r>
    </w:p>
    <w:p w:rsidR="00000000" w:rsidDel="00000000" w:rsidP="00000000" w:rsidRDefault="00000000" w:rsidRPr="00000000" w14:paraId="00000021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1.10. Química descritiva dos elementos de transição.</w:t>
      </w:r>
    </w:p>
    <w:p w:rsidR="00000000" w:rsidDel="00000000" w:rsidP="00000000" w:rsidRDefault="00000000" w:rsidRPr="00000000" w14:paraId="00000022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1.11. Atividades práticas de laboratório.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– Ligações Químicas e funções inorgânicas.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Ligação iônica e covalente.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Teoria da ligação de valência e teoria do orbital molecular.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Ligação metálica.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Transição entre ligação iônica e covalente.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Geometria molecular (TRPECV).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Polaridade na ligação covalente.</w:t>
      </w:r>
    </w:p>
    <w:p w:rsidR="00000000" w:rsidDel="00000000" w:rsidP="00000000" w:rsidRDefault="00000000" w:rsidRPr="00000000" w14:paraId="0000002B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2.7. Forças Intermoleculares e propriedades.</w:t>
      </w:r>
    </w:p>
    <w:p w:rsidR="00000000" w:rsidDel="00000000" w:rsidP="00000000" w:rsidRDefault="00000000" w:rsidRPr="00000000" w14:paraId="0000002C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2.8. Número de oxidação</w:t>
      </w:r>
    </w:p>
    <w:p w:rsidR="00000000" w:rsidDel="00000000" w:rsidP="00000000" w:rsidRDefault="00000000" w:rsidRPr="00000000" w14:paraId="0000002D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2.9. Caracterização, nomenclatura e propriedades das Funções inorgânicas: ácidos, bases, sais, óxidos e hidretos.</w:t>
      </w:r>
    </w:p>
    <w:p w:rsidR="00000000" w:rsidDel="00000000" w:rsidP="00000000" w:rsidRDefault="00000000" w:rsidRPr="00000000" w14:paraId="0000002E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2.10. Atividades práticas de laboratório.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– Reações Químicas e Estequiometria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Massa atômica e molecular; Número de Avogadro e volume molar.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Fórmulas químicas.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Tipos de reações.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Reagente limitante.</w:t>
      </w:r>
    </w:p>
    <w:p w:rsidR="00000000" w:rsidDel="00000000" w:rsidP="00000000" w:rsidRDefault="00000000" w:rsidRPr="00000000" w14:paraId="00000035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3.5. Cálculos estequiométricos e balanceamento de equações.</w:t>
      </w:r>
    </w:p>
    <w:p w:rsidR="00000000" w:rsidDel="00000000" w:rsidP="00000000" w:rsidRDefault="00000000" w:rsidRPr="00000000" w14:paraId="00000036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3.6. Atividades práticas de laboratório.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– Estudos dos sólidos, líquidos e gases</w:t>
      </w:r>
    </w:p>
    <w:p w:rsidR="00000000" w:rsidDel="00000000" w:rsidP="00000000" w:rsidRDefault="00000000" w:rsidRPr="00000000" w14:paraId="00000039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4.1. Caracterização.</w:t>
      </w:r>
    </w:p>
    <w:p w:rsidR="00000000" w:rsidDel="00000000" w:rsidP="00000000" w:rsidRDefault="00000000" w:rsidRPr="00000000" w14:paraId="0000003A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 Estruturas.</w:t>
      </w:r>
    </w:p>
    <w:p w:rsidR="00000000" w:rsidDel="00000000" w:rsidP="00000000" w:rsidRDefault="00000000" w:rsidRPr="00000000" w14:paraId="0000003B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4.4. Propriedades</w:t>
      </w:r>
    </w:p>
    <w:p w:rsidR="00000000" w:rsidDel="00000000" w:rsidP="00000000" w:rsidRDefault="00000000" w:rsidRPr="00000000" w14:paraId="0000003C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4.5. Equações do estado de um gás.</w:t>
      </w:r>
    </w:p>
    <w:p w:rsidR="00000000" w:rsidDel="00000000" w:rsidP="00000000" w:rsidRDefault="00000000" w:rsidRPr="00000000" w14:paraId="0000003D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4.6. Comportamento físico.</w:t>
      </w:r>
    </w:p>
    <w:p w:rsidR="00000000" w:rsidDel="00000000" w:rsidP="00000000" w:rsidRDefault="00000000" w:rsidRPr="00000000" w14:paraId="0000003E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4.7. Características particulares de cada fase física.</w:t>
      </w:r>
    </w:p>
    <w:p w:rsidR="00000000" w:rsidDel="00000000" w:rsidP="00000000" w:rsidRDefault="00000000" w:rsidRPr="00000000" w14:paraId="0000003F">
      <w:pPr>
        <w:ind w:firstLine="63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4.8. Atividades práticas de laboratório.</w:t>
      </w:r>
    </w:p>
    <w:p w:rsidR="00000000" w:rsidDel="00000000" w:rsidP="00000000" w:rsidRDefault="00000000" w:rsidRPr="00000000" w14:paraId="00000040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UNIDADE V – Dispersões, soluções e propriedades coligativas.</w:t>
      </w:r>
    </w:p>
    <w:p w:rsidR="00000000" w:rsidDel="00000000" w:rsidP="00000000" w:rsidRDefault="00000000" w:rsidRPr="00000000" w14:paraId="00000042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 Conceito e classificação das dispersões</w:t>
      </w:r>
    </w:p>
    <w:p w:rsidR="00000000" w:rsidDel="00000000" w:rsidP="00000000" w:rsidRDefault="00000000" w:rsidRPr="00000000" w14:paraId="00000043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 Curvas de solubilidade</w:t>
      </w:r>
    </w:p>
    <w:p w:rsidR="00000000" w:rsidDel="00000000" w:rsidP="00000000" w:rsidRDefault="00000000" w:rsidRPr="00000000" w14:paraId="00000044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5.3. Concentração das soluções</w:t>
      </w:r>
    </w:p>
    <w:p w:rsidR="00000000" w:rsidDel="00000000" w:rsidP="00000000" w:rsidRDefault="00000000" w:rsidRPr="00000000" w14:paraId="00000045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5.3 Preparo de soluções e padronização de soluções</w:t>
      </w:r>
    </w:p>
    <w:p w:rsidR="00000000" w:rsidDel="00000000" w:rsidP="00000000" w:rsidRDefault="00000000" w:rsidRPr="00000000" w14:paraId="00000046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5.4 Propriedades coligativas.</w:t>
      </w:r>
    </w:p>
    <w:p w:rsidR="00000000" w:rsidDel="00000000" w:rsidP="00000000" w:rsidRDefault="00000000" w:rsidRPr="00000000" w14:paraId="00000047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5.5. Atividades práticas de laboratório.</w:t>
      </w:r>
    </w:p>
    <w:p w:rsidR="00000000" w:rsidDel="00000000" w:rsidP="00000000" w:rsidRDefault="00000000" w:rsidRPr="00000000" w14:paraId="00000048">
      <w:pPr>
        <w:ind w:left="993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 - Termoquímica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Primeira lei da termodinâmica.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Entalpia.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Tipos de Entalpia.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Lei de Hess.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Calorimetria.</w:t>
      </w:r>
    </w:p>
    <w:p w:rsidR="00000000" w:rsidDel="00000000" w:rsidP="00000000" w:rsidRDefault="00000000" w:rsidRPr="00000000" w14:paraId="0000004F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6.6. Entropia, energia livre e transformação espontânea.</w:t>
      </w:r>
    </w:p>
    <w:p w:rsidR="00000000" w:rsidDel="00000000" w:rsidP="00000000" w:rsidRDefault="00000000" w:rsidRPr="00000000" w14:paraId="00000050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6.7. Atividades práticas de laboratório.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VII - Cinética Química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Velocidade de reação.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Equações cinéticas.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Fatores que afetam a velocidade da reação.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Energia de ativação e dependência das constantes de velocidade com a temperatura.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Mecanismos de reações.</w:t>
      </w:r>
    </w:p>
    <w:p w:rsidR="00000000" w:rsidDel="00000000" w:rsidP="00000000" w:rsidRDefault="00000000" w:rsidRPr="00000000" w14:paraId="00000058">
      <w:pPr>
        <w:ind w:left="113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7.6. Catálise.</w:t>
      </w:r>
    </w:p>
    <w:p w:rsidR="00000000" w:rsidDel="00000000" w:rsidP="00000000" w:rsidRDefault="00000000" w:rsidRPr="00000000" w14:paraId="00000059">
      <w:pPr>
        <w:ind w:left="113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7.7 Atividades práticas de laboratório.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VIII - Equilíbrio Químico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Conceito de equilíbrio.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Constante de equilíbrio.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Formas de expressar as constantes de equilíbrio.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Princípio de Lê Chatelier.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8.5. Solubilidade de sólidos iônicos.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8.6. Equilíbrio ácido-base e pH.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8.7. Titrimetria.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8.8. Soluções-tampão.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8.9. Hidrólise e dissociação.</w:t>
      </w:r>
    </w:p>
    <w:p w:rsidR="00000000" w:rsidDel="00000000" w:rsidP="00000000" w:rsidRDefault="00000000" w:rsidRPr="00000000" w14:paraId="00000065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8.10. Atividades práticas de laboratório.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IX - Eletroquímica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Reações de oxidação-redução.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Pilhas galvânicas.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Potenciais padrão de eletrodo.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A equação de Nerst.</w:t>
      </w:r>
    </w:p>
    <w:p w:rsidR="00000000" w:rsidDel="00000000" w:rsidP="00000000" w:rsidRDefault="00000000" w:rsidRPr="00000000" w14:paraId="0000006B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9.5. Espontaneidade das reações de oxidação-redução.</w:t>
      </w:r>
    </w:p>
    <w:p w:rsidR="00000000" w:rsidDel="00000000" w:rsidP="00000000" w:rsidRDefault="00000000" w:rsidRPr="00000000" w14:paraId="0000006C">
      <w:pPr>
        <w:ind w:left="993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9.6. Atividades práticas de laboratório.</w:t>
      </w:r>
    </w:p>
    <w:p w:rsidR="00000000" w:rsidDel="00000000" w:rsidP="00000000" w:rsidRDefault="00000000" w:rsidRPr="00000000" w14:paraId="0000006D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UNIDADE X – Programa de seminários temáticos da Química Geral Aplicada com Compostos inorgânicos de interesse ambiental.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Tratamento estatísticos de dados de laboratório.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 Conceitos iniciais de Tratamentos de águas e efluentes.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Poluição Ambiental.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Saneamento Ambiental.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 Cristais Líquidos.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10.5. Polímeros.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10.6 Cerâmicas.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10.7 Supercondutividade.</w:t>
      </w:r>
    </w:p>
    <w:p w:rsidR="00000000" w:rsidDel="00000000" w:rsidP="00000000" w:rsidRDefault="00000000" w:rsidRPr="00000000" w14:paraId="00000077">
      <w:pPr>
        <w:ind w:left="851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10.8 Filmes finos.</w:t>
      </w:r>
    </w:p>
    <w:p w:rsidR="00000000" w:rsidDel="00000000" w:rsidP="00000000" w:rsidRDefault="00000000" w:rsidRPr="00000000" w14:paraId="00000078">
      <w:pPr>
        <w:ind w:left="0" w:firstLine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BROWN, T. L.; LEMAY, H. E.; BURSTEN, B. 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Química, A ciência Central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9 ed., Ed. Pearson-Prentice Hall, 2007.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ATKINS, P.; JONES, 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Princípios de Química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Ed. Bookman, 2001.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KOTZ, J.; TREICHEL, P. 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Química Geral e Reações Químicas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Pioneira Thomson, 2005.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RUSSELL, J. B.: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Química Geral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MacGraw Hill, 2 ed., 1992.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REIS, Martha. Completamente Química: química geral. São Paulo, SP: FTD, 2001. 624p </w:t>
      </w:r>
      <w:r w:rsidDel="00000000" w:rsidR="00000000" w:rsidRPr="00000000">
        <w:rPr>
          <w:rtl w:val="0"/>
        </w:rPr>
        <w:t xml:space="preserve">(Ciências,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tecnologia &amp; sociedade).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MATHEUS, Edegar; SARDELLA, Antonio. Curso de química. São Paulo: Ática, 1984.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BROWN, T. L.; LEMAY, H. E.; BURSTEN, B. E.; BURDGE, J. R. Química: Ciência Central. São Paulo: Pearson, 2005.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KOTZ, J. C.; TREICHEL, P. M.; WEAVER, G. C. Química Geral e Reações Químicas, vol. 1. São Paulo: Cengage Learning, 2010. 6 ed.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RUSSEL, J. B. Química Geral, vol. São Paulo: Pearson, 2012. 2 ed. HALL, N. (org.) Neoquímica. Porto Alegre: Bookman, 2006.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="357" w:leftChars="-1" w:rightChars="0" w:hanging="357" w:firstLineChars="-1"/>
      <w:textDirection w:val="btLr"/>
      <w:textAlignment w:val="top"/>
      <w:outlineLvl w:val="1"/>
    </w:pPr>
    <w:rPr>
      <w:rFonts w:ascii="Arial" w:cs="Times New Roman" w:eastAsia="Times New Roman" w:hAnsi="Arial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before="480" w:line="276" w:lineRule="auto"/>
      <w:ind w:left="0" w:leftChars="-1" w:rightChars="0" w:firstLine="0" w:firstLineChars="-1"/>
      <w:textDirection w:val="btLr"/>
      <w:textAlignment w:val="top"/>
      <w:outlineLvl w:val="9"/>
    </w:pPr>
    <w:rPr>
      <w:rFonts w:ascii="Arial" w:cs="Times New Roman" w:eastAsia="Times New Roman" w:hAnsi="Arial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Times New Roman" w:eastAsia="Times New Roman" w:hAnsi="Arial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DnMIXr3t5LOk1UDUyyCyle1Fg==">AMUW2mVmiyCQPE18UeJuxvBS0ZBN+oW6qDdrIRXc8uN8v/uWTTxvgpjag0KHVwgeDz48lP2IT1SVr5R0N7ZPlNKnzntmkaSMn1j+N077Y7ZD+Rm1f7nq45/fpXM1W7VPjv2laKK2allF3Sk+Bgh1u4imXGQRoY1Vaw==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2018-09-12T18:37:00Z</dcterms:created>
  <dc:creator>jocelito</dc:creator>
</cp:coreProperties>
</file>