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6B38" w14:textId="1FA40439" w:rsidR="00FE69C0" w:rsidRDefault="00991460">
      <w:pPr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242C4C3" wp14:editId="6F5FE08B">
            <wp:extent cx="5400040" cy="1082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1CE3" w14:textId="77777777" w:rsidR="00FE69C0" w:rsidRDefault="00FE69C0">
      <w:pP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6CCEE643" w14:textId="77777777" w:rsidR="00FE69C0" w:rsidRDefault="00625DFA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2018</w:t>
      </w:r>
    </w:p>
    <w:p w14:paraId="58648236" w14:textId="77777777" w:rsidR="00FE69C0" w:rsidRDefault="00FE69C0">
      <w:pPr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</w:p>
    <w:tbl>
      <w:tblPr>
        <w:tblStyle w:val="a"/>
        <w:tblW w:w="846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3960"/>
      </w:tblGrid>
      <w:tr w:rsidR="00FE69C0" w14:paraId="7D52DBC7" w14:textId="77777777">
        <w:tc>
          <w:tcPr>
            <w:tcW w:w="4500" w:type="dxa"/>
          </w:tcPr>
          <w:p w14:paraId="22E444C9" w14:textId="77777777" w:rsidR="00FE69C0" w:rsidRDefault="00625D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0" w:type="dxa"/>
          </w:tcPr>
          <w:p w14:paraId="2A2F8D77" w14:textId="77777777" w:rsidR="00FE69C0" w:rsidRDefault="00625DFA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FE69C0" w14:paraId="2528BE88" w14:textId="77777777">
        <w:tc>
          <w:tcPr>
            <w:tcW w:w="4500" w:type="dxa"/>
          </w:tcPr>
          <w:p w14:paraId="6EC6616B" w14:textId="75530760" w:rsidR="00FE69C0" w:rsidRDefault="00625DFA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Processos de acompanhamento das dificuldades de aprendizagem e desempenho escolar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4B943716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123284" w14:textId="3404C641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–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Pedagogos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324C741E" w14:textId="77777777">
        <w:tc>
          <w:tcPr>
            <w:tcW w:w="4500" w:type="dxa"/>
          </w:tcPr>
          <w:p w14:paraId="2722334F" w14:textId="7ED60410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Recuperação paralela e provas extras de recuperação durante o ano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6617379C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BD5AAD" w14:textId="4A57B83D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 trabalhadores, no caso de estudantes do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curso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subsequente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s.</w:t>
            </w:r>
          </w:p>
        </w:tc>
      </w:tr>
      <w:tr w:rsidR="00FE69C0" w14:paraId="7FD5FAAA" w14:textId="77777777">
        <w:tc>
          <w:tcPr>
            <w:tcW w:w="4500" w:type="dxa"/>
          </w:tcPr>
          <w:p w14:paraId="3A0F7180" w14:textId="48AA6C7D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Atendimento individualiza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do do professor aos estudantes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7D8203BA" w14:textId="2121DC68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Os estudantes não procurarem ou sentirem dificuldades em receber esse atendimento</w:t>
            </w:r>
            <w:r w:rsidR="00E0248D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452151C6" w14:textId="77777777">
        <w:tc>
          <w:tcPr>
            <w:tcW w:w="4500" w:type="dxa"/>
          </w:tcPr>
          <w:p w14:paraId="4EFE54F3" w14:textId="637F9243" w:rsidR="00FE69C0" w:rsidRPr="00B44F1A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aos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alunos infrequentes através de ligação telefônica feita pelo setor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de apoio e </w:t>
            </w:r>
            <w:r w:rsidR="00625DFA">
              <w:rPr>
                <w:rFonts w:ascii="Arial" w:eastAsia="Arial" w:hAnsi="Arial" w:cs="Arial"/>
                <w:sz w:val="20"/>
                <w:szCs w:val="20"/>
                <w:highlight w:val="white"/>
              </w:rPr>
              <w:t>pedag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oga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1E13A089" w14:textId="36710B9D" w:rsidR="00E0248D" w:rsidRDefault="00E0248D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Contatos desatualizados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E0DDE99" w14:textId="226B467F" w:rsidR="00FE69C0" w:rsidRPr="00B44F1A" w:rsidRDefault="00625DFA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Os docentes não se informarem com o setor pedagógico sobre a situação desses estudantes</w:t>
            </w:r>
            <w:r w:rsidR="00E0248D" w:rsidRP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794EA8B5" w14:textId="77777777">
        <w:tc>
          <w:tcPr>
            <w:tcW w:w="4500" w:type="dxa"/>
          </w:tcPr>
          <w:p w14:paraId="2A4AE9A1" w14:textId="69B17006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Incentivos à</w:t>
            </w:r>
            <w:r w:rsidR="00B44F1A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projetos de ensino,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pesquisa e extensão</w:t>
            </w:r>
            <w:r w:rsidR="00E0248D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com recursos reservados no orçamento do câmpus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16F19105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C5523E3" w14:textId="77777777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bolsas para estudantes </w:t>
            </w:r>
          </w:p>
        </w:tc>
      </w:tr>
      <w:tr w:rsidR="00FE69C0" w14:paraId="26DD1A83" w14:textId="77777777">
        <w:tc>
          <w:tcPr>
            <w:tcW w:w="4500" w:type="dxa"/>
          </w:tcPr>
          <w:p w14:paraId="59AB2183" w14:textId="00C1DE49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Conselho de classe dividido em três etapas. Pré-conselho, Conselho e Pós-conselho.</w:t>
            </w:r>
          </w:p>
        </w:tc>
        <w:tc>
          <w:tcPr>
            <w:tcW w:w="3960" w:type="dxa"/>
          </w:tcPr>
          <w:p w14:paraId="15317EE0" w14:textId="4C7F0886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Retorno docente apenas sobre aspecto quantitativo dos processos avaliativos dos estudantes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E0248D" w14:paraId="29BE9C87" w14:textId="77777777">
        <w:tc>
          <w:tcPr>
            <w:tcW w:w="4500" w:type="dxa"/>
          </w:tcPr>
          <w:p w14:paraId="5F3DD184" w14:textId="12853768" w:rsidR="009306C9" w:rsidRPr="009306C9" w:rsidRDefault="00E0248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Reunião de pais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(Integrado)</w:t>
            </w:r>
            <w:r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logo após ao conselho de classe</w:t>
            </w:r>
            <w:r w:rsidR="009306C9" w:rsidRP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para avaliar o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rendimento dos estudantes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junto aos pais 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>e tentar contornar situaç</w:t>
            </w:r>
            <w:r w:rsidR="00057A3B">
              <w:rPr>
                <w:rFonts w:ascii="Arial" w:eastAsia="Arial" w:hAnsi="Arial" w:cs="Arial"/>
                <w:sz w:val="20"/>
                <w:szCs w:val="20"/>
                <w:highlight w:val="white"/>
              </w:rPr>
              <w:t>ões</w:t>
            </w:r>
            <w:r w:rsidR="009306C9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com a parceria da família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619B9C0D" w14:textId="0A990231" w:rsidR="00E0248D" w:rsidRDefault="009306C9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Pouca presença por parte dos pais;</w:t>
            </w:r>
          </w:p>
        </w:tc>
      </w:tr>
      <w:tr w:rsidR="00FE69C0" w14:paraId="6BB7B4DE" w14:textId="77777777">
        <w:tc>
          <w:tcPr>
            <w:tcW w:w="4500" w:type="dxa"/>
          </w:tcPr>
          <w:p w14:paraId="0B4EE3D7" w14:textId="15B3DAA6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presentação dos cursos, no início de cada semestre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  <w:p w14:paraId="6C87772F" w14:textId="77777777" w:rsidR="00FE69C0" w:rsidRDefault="00FE69C0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3F43C3D" w14:textId="67B3CDED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Baixa adesão dos estudantes</w:t>
            </w:r>
            <w:r w:rsidR="008653A7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FE69C0" w14:paraId="573AC81B" w14:textId="77777777">
        <w:tc>
          <w:tcPr>
            <w:tcW w:w="4500" w:type="dxa"/>
          </w:tcPr>
          <w:p w14:paraId="0722CCCA" w14:textId="1AE97333" w:rsidR="00FE69C0" w:rsidRPr="00994372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Construção de ficha 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de 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cancelamento</w:t>
            </w:r>
            <w:r w:rsidR="00B44F1A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ou trancamento</w:t>
            </w:r>
            <w:r w:rsidR="00994372"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com o objetivo de analisar as causas e realizar conversa entre o desistente e sua família buscando evitar o cancelamento.</w:t>
            </w:r>
          </w:p>
        </w:tc>
        <w:tc>
          <w:tcPr>
            <w:tcW w:w="3960" w:type="dxa"/>
          </w:tcPr>
          <w:p w14:paraId="5D17057F" w14:textId="51B71FA3" w:rsidR="00FE69C0" w:rsidRPr="00994372" w:rsidRDefault="00994372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Evasão por parte do estudante sem o preenchimento do formulário ou entrevista.</w:t>
            </w:r>
          </w:p>
        </w:tc>
      </w:tr>
      <w:tr w:rsidR="00FE69C0" w14:paraId="0EB040DC" w14:textId="77777777">
        <w:tc>
          <w:tcPr>
            <w:tcW w:w="4500" w:type="dxa"/>
          </w:tcPr>
          <w:p w14:paraId="051B8E07" w14:textId="06D3786A" w:rsidR="00FE69C0" w:rsidRDefault="00625DFA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Reuniões pedagógicas </w:t>
            </w:r>
            <w:r w:rsidR="008653A7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semanais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0D244A55" w14:textId="77777777" w:rsidR="00FE69C0" w:rsidRDefault="00FE69C0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444463AA" w14:textId="79CD2074" w:rsidR="00FE69C0" w:rsidRDefault="00625DFA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C019B0C" w14:textId="77777777">
        <w:tc>
          <w:tcPr>
            <w:tcW w:w="4500" w:type="dxa"/>
          </w:tcPr>
          <w:p w14:paraId="6EA2A438" w14:textId="363CEF41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Capacitações de servidores frequentes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659B26F9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C3302DD" w14:textId="2F2D3FA5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por parte dos docentes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049A0D1D" w14:textId="77777777">
        <w:tc>
          <w:tcPr>
            <w:tcW w:w="4500" w:type="dxa"/>
          </w:tcPr>
          <w:p w14:paraId="1AB4F212" w14:textId="77777777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Na área da assistência estudantil ações como: </w:t>
            </w:r>
          </w:p>
          <w:p w14:paraId="2AB74E38" w14:textId="77777777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Auxílio-transporte, </w:t>
            </w:r>
          </w:p>
          <w:p w14:paraId="55407E3A" w14:textId="77777777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Auxílio alimentação, </w:t>
            </w:r>
          </w:p>
          <w:p w14:paraId="263766A4" w14:textId="01F481B6" w:rsidR="008653A7" w:rsidRDefault="008653A7" w:rsidP="008653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Auxílio moradia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366966D0" w14:textId="4D62F35B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para atender toda a demanda</w:t>
            </w:r>
            <w:r w:rsidR="00994372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160FCC85" w14:textId="77777777">
        <w:tc>
          <w:tcPr>
            <w:tcW w:w="4500" w:type="dxa"/>
          </w:tcPr>
          <w:p w14:paraId="7B85EBCA" w14:textId="7E000382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5BB3A6B8" w14:textId="75D85288" w:rsidR="008653A7" w:rsidRDefault="008653A7" w:rsidP="008653A7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>atividades de acolhida aos novos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3184295A" w14:textId="77777777">
        <w:tc>
          <w:tcPr>
            <w:tcW w:w="4500" w:type="dxa"/>
          </w:tcPr>
          <w:p w14:paraId="7725BE77" w14:textId="0D62385C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lastRenderedPageBreak/>
              <w:t xml:space="preserve">Eventos de confraternização: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Banquete de Acolhida,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Festa Junina,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Semana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Farroupilha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, Gincana, entre outros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301AD72D" w14:textId="3A6F6C40" w:rsidR="006700B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Pouco envolvimento da equipe de servidores para a organização das atividades </w:t>
            </w:r>
            <w:r w:rsidR="006700B2">
              <w:rPr>
                <w:rFonts w:ascii="Arial" w:eastAsia="Arial" w:hAnsi="Arial" w:cs="Arial"/>
                <w:sz w:val="20"/>
                <w:szCs w:val="20"/>
                <w:highlight w:val="white"/>
              </w:rPr>
              <w:t>com os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7E08C540" w14:textId="5351F9E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dos estudantes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</w:tr>
      <w:tr w:rsidR="008653A7" w14:paraId="6AD2D230" w14:textId="77777777">
        <w:tc>
          <w:tcPr>
            <w:tcW w:w="4500" w:type="dxa"/>
          </w:tcPr>
          <w:p w14:paraId="36333A56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Atendimento pedagógico para estudantes com dificuldades de aprendizagem e com deficiência. </w:t>
            </w:r>
          </w:p>
        </w:tc>
        <w:tc>
          <w:tcPr>
            <w:tcW w:w="3960" w:type="dxa"/>
          </w:tcPr>
          <w:p w14:paraId="6651CA8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Encaminhamento tardio por parte da equipe docente. Resistência dos estudantes em receber o atendimento, mais comum com discentes adultos.</w:t>
            </w:r>
          </w:p>
        </w:tc>
      </w:tr>
      <w:tr w:rsidR="008653A7" w14:paraId="643C8055" w14:textId="77777777">
        <w:tc>
          <w:tcPr>
            <w:tcW w:w="4500" w:type="dxa"/>
          </w:tcPr>
          <w:p w14:paraId="34D66A08" w14:textId="42881AF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Orientação pedagógica para docentes</w:t>
            </w:r>
            <w:r w:rsidR="00B44F1A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3960" w:type="dxa"/>
          </w:tcPr>
          <w:p w14:paraId="20AE92A5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Resistência dos docentes em refletir sobre a própria prática pedagógica.</w:t>
            </w:r>
          </w:p>
        </w:tc>
      </w:tr>
      <w:tr w:rsidR="008653A7" w14:paraId="2305A181" w14:textId="77777777">
        <w:tc>
          <w:tcPr>
            <w:tcW w:w="4500" w:type="dxa"/>
          </w:tcPr>
          <w:p w14:paraId="297E8613" w14:textId="42A83B0A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por profissionais da pedagogia e psicologia.</w:t>
            </w:r>
          </w:p>
          <w:p w14:paraId="5710C572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39739AC7" w14:textId="1C20C8A9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profissionais habilitados para essa atividade - 1 Pedagoga e 1 psicólog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542BD68" w14:textId="77777777">
        <w:tc>
          <w:tcPr>
            <w:tcW w:w="4500" w:type="dxa"/>
          </w:tcPr>
          <w:p w14:paraId="534CFF82" w14:textId="6BCF347D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Oferta de oficinas, palestras; incentivo à participação em eventos, feiras, projetos.</w:t>
            </w:r>
          </w:p>
        </w:tc>
        <w:tc>
          <w:tcPr>
            <w:tcW w:w="3960" w:type="dxa"/>
          </w:tcPr>
          <w:p w14:paraId="4BF3063A" w14:textId="30BEAEF3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 </w:t>
            </w:r>
            <w:r w:rsidR="0099437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53A7" w14:paraId="4B41EF2C" w14:textId="77777777">
        <w:tc>
          <w:tcPr>
            <w:tcW w:w="4500" w:type="dxa"/>
          </w:tcPr>
          <w:p w14:paraId="43EDF664" w14:textId="47920E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Atendimentos e monitoria.</w:t>
            </w:r>
          </w:p>
          <w:p w14:paraId="6ADEAC5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03553E45" w14:textId="77777777" w:rsidR="008653A7" w:rsidRDefault="008653A7" w:rsidP="008653A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de docentes e de estudantes trabalhadores.</w:t>
            </w:r>
          </w:p>
          <w:p w14:paraId="7B857E0F" w14:textId="4937F8EB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Baixo número de bolsas para estudantes monitores.</w:t>
            </w:r>
          </w:p>
        </w:tc>
      </w:tr>
      <w:tr w:rsidR="008653A7" w14:paraId="72F123FD" w14:textId="77777777">
        <w:tc>
          <w:tcPr>
            <w:tcW w:w="4500" w:type="dxa"/>
          </w:tcPr>
          <w:p w14:paraId="705F3CEC" w14:textId="38316CA4" w:rsidR="008653A7" w:rsidRPr="0099437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Divulgação dos cursos através de ações propostas pela comissão de divulgação do campus.</w:t>
            </w:r>
          </w:p>
        </w:tc>
        <w:tc>
          <w:tcPr>
            <w:tcW w:w="3960" w:type="dxa"/>
          </w:tcPr>
          <w:p w14:paraId="358E3AB8" w14:textId="179604C9" w:rsidR="008653A7" w:rsidRPr="00994372" w:rsidRDefault="008653A7" w:rsidP="008653A7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Falta de recursos para atender toda a demanda. Baixa adesão de </w:t>
            </w:r>
            <w:r w:rsid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servidores</w:t>
            </w:r>
            <w:r w:rsidRPr="00994372">
              <w:rPr>
                <w:rFonts w:ascii="Arial" w:eastAsia="Arial" w:hAnsi="Arial" w:cs="Arial"/>
                <w:sz w:val="20"/>
                <w:szCs w:val="20"/>
                <w:highlight w:val="white"/>
              </w:rPr>
              <w:t>.</w:t>
            </w:r>
          </w:p>
          <w:p w14:paraId="10B10A9F" w14:textId="77777777" w:rsidR="008653A7" w:rsidRPr="00994372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8653A7" w14:paraId="196D62D8" w14:textId="77777777">
        <w:tc>
          <w:tcPr>
            <w:tcW w:w="4500" w:type="dxa"/>
          </w:tcPr>
          <w:p w14:paraId="2C6F8281" w14:textId="04382536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Acompanhamento do aluno pela equipe multidisciplinar, diagnosticando fatores interventores e fazendo encaminhamentos cabíveis.</w:t>
            </w:r>
          </w:p>
          <w:p w14:paraId="6F83C398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2CF3A0D2" w14:textId="4CEE6AA6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Baixa adesão dos estudantes, por resistência cultural para acessar os respectivos serviços. Baixo número de profissionais habilitados para essa atividade.</w:t>
            </w:r>
          </w:p>
        </w:tc>
      </w:tr>
      <w:tr w:rsidR="008653A7" w14:paraId="096F88A5" w14:textId="77777777">
        <w:tc>
          <w:tcPr>
            <w:tcW w:w="4500" w:type="dxa"/>
          </w:tcPr>
          <w:p w14:paraId="717E4FB3" w14:textId="1E973D8D" w:rsidR="008653A7" w:rsidRDefault="008653A7" w:rsidP="008653A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Núcleo de Gênero e Diversidade e promover debates e formações docentes sobre o tema in/exclusão.</w:t>
            </w:r>
          </w:p>
          <w:p w14:paraId="52DD54E1" w14:textId="77777777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0" w:type="dxa"/>
          </w:tcPr>
          <w:p w14:paraId="100E235E" w14:textId="60FA0ABA" w:rsidR="008653A7" w:rsidRDefault="008653A7" w:rsidP="008653A7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Falta de recursos para atender toda a demanda. Baixa adesão de docentes</w:t>
            </w:r>
            <w:r w:rsidR="00EF1FC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estudantes.</w:t>
            </w:r>
          </w:p>
        </w:tc>
      </w:tr>
    </w:tbl>
    <w:p w14:paraId="00142628" w14:textId="77777777" w:rsidR="00FE69C0" w:rsidRDefault="00FE69C0">
      <w:pPr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00887E0" w14:textId="77777777" w:rsidR="00FE69C0" w:rsidRDefault="00FE69C0"/>
    <w:sectPr w:rsidR="00FE69C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53D3E"/>
    <w:multiLevelType w:val="multilevel"/>
    <w:tmpl w:val="5C5E0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C0"/>
    <w:rsid w:val="00057A3B"/>
    <w:rsid w:val="00625DFA"/>
    <w:rsid w:val="006700B2"/>
    <w:rsid w:val="007229C0"/>
    <w:rsid w:val="008653A7"/>
    <w:rsid w:val="009306C9"/>
    <w:rsid w:val="00991460"/>
    <w:rsid w:val="00994372"/>
    <w:rsid w:val="00B44F1A"/>
    <w:rsid w:val="00E0248D"/>
    <w:rsid w:val="00EF1FCD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532C"/>
  <w15:docId w15:val="{7632F4EA-F563-448E-8684-2C7AF2AB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7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93753"/>
    <w:pPr>
      <w:ind w:left="720"/>
      <w:contextualSpacing/>
    </w:pPr>
  </w:style>
  <w:style w:type="table" w:styleId="Tabelacomgrade">
    <w:name w:val="Table Grid"/>
    <w:basedOn w:val="Tabelanormal"/>
    <w:uiPriority w:val="39"/>
    <w:rsid w:val="0009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2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4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7hsu0slhRuCiOEAVka8CQpemTg==">AMUW2mVohSg5U6xdprDcVww1b8r6u7IB6fNOV+etWCx7AbxaQBuha4WBDf7uXKYMoTjjrwKMhReyzJ9q1uQMgpHkbMgXGSElKSNBNTPC4CpVCrtOhNfH+Q0Yp46QPH/Nf/9nS3mxCBlc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574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MAP Dinis</cp:lastModifiedBy>
  <cp:revision>4</cp:revision>
  <dcterms:created xsi:type="dcterms:W3CDTF">2021-11-19T19:53:00Z</dcterms:created>
  <dcterms:modified xsi:type="dcterms:W3CDTF">2021-11-29T03:34:00Z</dcterms:modified>
</cp:coreProperties>
</file>